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7B9" w:rsidRDefault="00AE0A6E" w:rsidP="00AE0A6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E0A6E">
        <w:rPr>
          <w:rFonts w:ascii="Times New Roman" w:hAnsi="Times New Roman" w:cs="Times New Roman"/>
          <w:sz w:val="28"/>
          <w:szCs w:val="28"/>
          <w:lang w:val="uk-UA"/>
        </w:rPr>
        <w:t>Лабораторна робота №1</w:t>
      </w:r>
    </w:p>
    <w:p w:rsidR="00AE0A6E" w:rsidRDefault="00AE0A6E" w:rsidP="00AE0A6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</w:t>
      </w:r>
      <w:r>
        <w:rPr>
          <w:rFonts w:ascii="Times New Roman" w:hAnsi="Times New Roman" w:cs="Times New Roman"/>
          <w:sz w:val="28"/>
          <w:szCs w:val="28"/>
        </w:rPr>
        <w:t>IV</w:t>
      </w:r>
      <w:r w:rsidRPr="00AE0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курсу </w:t>
      </w:r>
    </w:p>
    <w:p w:rsidR="00AE0A6E" w:rsidRDefault="00AE0A6E" w:rsidP="00AE0A6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AE0A6E" w:rsidRDefault="00AE0A6E" w:rsidP="00AE0A6E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6E">
        <w:rPr>
          <w:rFonts w:ascii="Times New Roman" w:hAnsi="Times New Roman" w:cs="Times New Roman"/>
          <w:i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Смуго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пропускаючий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фільтр</w:t>
      </w:r>
    </w:p>
    <w:p w:rsidR="00AE0A6E" w:rsidRDefault="00AE0A6E" w:rsidP="00AE0A6E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  <w:r w:rsidRPr="00AE0A6E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E0A6E" w:rsidRPr="00AE0A6E" w:rsidRDefault="00AE0A6E" w:rsidP="00AE0A6E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AE0A6E">
        <w:rPr>
          <w:rFonts w:ascii="Times New Roman" w:hAnsi="Times New Roman" w:cs="Times New Roman"/>
          <w:sz w:val="28"/>
          <w:szCs w:val="28"/>
          <w:lang w:val="uk-UA"/>
        </w:rPr>
        <w:t>Вивчення властивостей феритових резонаторів, розрахунок параметрів фільтрів на феритах.</w:t>
      </w:r>
    </w:p>
    <w:p w:rsidR="00AE0A6E" w:rsidRDefault="00AE0A6E" w:rsidP="00AE0A6E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AE0A6E">
        <w:rPr>
          <w:rFonts w:ascii="Times New Roman" w:hAnsi="Times New Roman" w:cs="Times New Roman"/>
          <w:sz w:val="28"/>
          <w:szCs w:val="28"/>
          <w:lang w:val="uk-UA"/>
        </w:rPr>
        <w:t>Опанування експериментальних методів дослідження феритових резонаторів.</w:t>
      </w:r>
    </w:p>
    <w:p w:rsidR="00AE0A6E" w:rsidRPr="00AE0A6E" w:rsidRDefault="00AE0A6E" w:rsidP="00AE0A6E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0A6E">
        <w:rPr>
          <w:rFonts w:ascii="Times New Roman" w:hAnsi="Times New Roman" w:cs="Times New Roman"/>
          <w:i/>
          <w:sz w:val="28"/>
          <w:szCs w:val="28"/>
          <w:lang w:val="uk-UA"/>
        </w:rPr>
        <w:t>Теоретичні відомості:</w:t>
      </w:r>
    </w:p>
    <w:p w:rsidR="00AE0A6E" w:rsidRPr="00AE0A6E" w:rsidRDefault="00AE0A6E" w:rsidP="00AE0A6E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A6E">
        <w:rPr>
          <w:rFonts w:ascii="Times New Roman" w:hAnsi="Times New Roman" w:cs="Times New Roman"/>
          <w:sz w:val="28"/>
          <w:szCs w:val="28"/>
          <w:lang w:val="uk-UA"/>
        </w:rPr>
        <w:t xml:space="preserve">Власна резонансна частота феритового резонатора (далі ФР) визначається величиною зовнішнього сталого магнітного поля </w:t>
      </w:r>
      <w:r w:rsidRPr="00AE0A6E">
        <w:rPr>
          <w:rFonts w:ascii="Times New Roman" w:eastAsia="Times New Roman" w:hAnsi="Times New Roman" w:cs="Times New Roman"/>
          <w:position w:val="-12"/>
          <w:sz w:val="28"/>
          <w:szCs w:val="28"/>
          <w:lang w:val="uk-UA"/>
        </w:rPr>
        <w:object w:dxaOrig="34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25pt;height:17.25pt" o:ole="" fillcolor="window">
            <v:imagedata r:id="rId5" o:title=""/>
          </v:shape>
          <o:OLEObject Type="Embed" ProgID="Equation.3" ShapeID="_x0000_i1025" DrawAspect="Content" ObjectID="_1479162348" r:id="rId6"/>
        </w:object>
      </w:r>
      <w:r w:rsidRPr="00AE0A6E">
        <w:rPr>
          <w:rFonts w:ascii="Times New Roman" w:hAnsi="Times New Roman" w:cs="Times New Roman"/>
          <w:sz w:val="28"/>
          <w:szCs w:val="28"/>
          <w:lang w:val="uk-UA"/>
        </w:rPr>
        <w:t>, хімічним складом фериту (тобто величиною його намагніченості), формою зразка та його орієнтацією кристалографічних осей по відношенню до напрямку зовнішнього магнітного поля. НВЧ-резонатори на монокристалах феритів характеризуються наступними параметрами: резонансною частотою, власною добротністю, об’ємом та магнітною проникністю при резонансі.</w:t>
      </w:r>
    </w:p>
    <w:p w:rsidR="00AE0A6E" w:rsidRPr="00207726" w:rsidRDefault="00AE0A6E" w:rsidP="00AE0A6E">
      <w:pPr>
        <w:spacing w:after="0" w:line="360" w:lineRule="auto"/>
        <w:ind w:left="-426"/>
        <w:jc w:val="both"/>
        <w:rPr>
          <w:rFonts w:ascii="Garamond" w:hAnsi="Garamond"/>
          <w:sz w:val="24"/>
          <w:szCs w:val="24"/>
          <w:lang w:val="uk-UA"/>
        </w:rPr>
      </w:pPr>
      <w:r w:rsidRPr="00AE0A6E">
        <w:rPr>
          <w:rFonts w:ascii="Times New Roman" w:hAnsi="Times New Roman" w:cs="Times New Roman"/>
          <w:sz w:val="28"/>
          <w:szCs w:val="28"/>
          <w:lang w:val="uk-UA"/>
        </w:rPr>
        <w:t>Важливим параметром ФР є його власна добротність</w:t>
      </w:r>
      <w:r w:rsidRPr="00AE0A6E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AE0A6E">
        <w:rPr>
          <w:rFonts w:ascii="Times New Roman" w:hAnsi="Times New Roman" w:cs="Times New Roman"/>
          <w:sz w:val="28"/>
          <w:szCs w:val="28"/>
          <w:lang w:val="uk-UA"/>
        </w:rPr>
        <w:t xml:space="preserve">це відношення накопиченої енергії в резонаторі до енергії, що розсіюється цим резонатором за 1 період, яка характеризує </w:t>
      </w:r>
      <w:proofErr w:type="spellStart"/>
      <w:r w:rsidRPr="00AE0A6E">
        <w:rPr>
          <w:rFonts w:ascii="Times New Roman" w:hAnsi="Times New Roman" w:cs="Times New Roman"/>
          <w:sz w:val="28"/>
          <w:szCs w:val="28"/>
          <w:lang w:val="uk-UA"/>
        </w:rPr>
        <w:t>частотно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A6E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A6E">
        <w:rPr>
          <w:rFonts w:ascii="Times New Roman" w:hAnsi="Times New Roman" w:cs="Times New Roman"/>
          <w:sz w:val="28"/>
          <w:szCs w:val="28"/>
          <w:lang w:val="uk-UA"/>
        </w:rPr>
        <w:t>селективні властивості резонатора:</w:t>
      </w:r>
    </w:p>
    <w:p w:rsidR="00AE0A6E" w:rsidRPr="00207726" w:rsidRDefault="00AE0A6E" w:rsidP="00AE0A6E">
      <w:pPr>
        <w:spacing w:after="0" w:line="360" w:lineRule="auto"/>
        <w:ind w:firstLine="680"/>
        <w:jc w:val="right"/>
        <w:rPr>
          <w:rFonts w:ascii="Garamond" w:eastAsiaTheme="minorEastAsia" w:hAnsi="Garamond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∆f</m:t>
            </m:r>
          </m:den>
        </m:f>
      </m:oMath>
      <w:r w:rsidRPr="00AE0A6E">
        <w:rPr>
          <w:rFonts w:ascii="Garamond" w:eastAsiaTheme="minorEastAsia" w:hAnsi="Garamond"/>
          <w:sz w:val="24"/>
          <w:szCs w:val="24"/>
          <w:lang w:val="ru-RU"/>
        </w:rPr>
        <w:t xml:space="preserve">                                                                    (1)      </w:t>
      </w:r>
    </w:p>
    <w:p w:rsidR="00AE0A6E" w:rsidRPr="00AE0A6E" w:rsidRDefault="00AE0A6E" w:rsidP="00AE0A6E">
      <w:pPr>
        <w:spacing w:after="0" w:line="360" w:lineRule="auto"/>
        <w:ind w:left="-426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>Добротність навантаженого резонатора – це відношення накопиченої у резонаторі енергії до енергії розсіяної в резонаторі та навантажені за 1 період:</w:t>
      </w:r>
    </w:p>
    <w:p w:rsidR="00AE0A6E" w:rsidRPr="00AE0A6E" w:rsidRDefault="00AE0A6E" w:rsidP="00AE0A6E">
      <w:pPr>
        <w:spacing w:after="0" w:line="360" w:lineRule="auto"/>
        <w:ind w:firstLine="680"/>
        <w:jc w:val="right"/>
        <w:rPr>
          <w:rFonts w:ascii="Garamond" w:eastAsiaTheme="minorEastAsia" w:hAnsi="Garamond"/>
          <w:sz w:val="24"/>
          <w:szCs w:val="24"/>
          <w:lang w:val="ru-RU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H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∆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'</m:t>
                </m:r>
              </m:sup>
            </m:sSup>
          </m:den>
        </m:f>
      </m:oMath>
      <w:r w:rsidRPr="00AE0A6E">
        <w:rPr>
          <w:rFonts w:ascii="Garamond" w:eastAsiaTheme="minorEastAsia" w:hAnsi="Garamond"/>
          <w:sz w:val="28"/>
          <w:szCs w:val="28"/>
          <w:lang w:val="ru-RU"/>
        </w:rPr>
        <w:t xml:space="preserve"> ,  </w:t>
      </w:r>
      <w:r w:rsidRPr="00AE0A6E">
        <w:rPr>
          <w:rFonts w:ascii="Garamond" w:eastAsiaTheme="minorEastAsia" w:hAnsi="Garamond"/>
          <w:sz w:val="24"/>
          <w:szCs w:val="24"/>
          <w:lang w:val="ru-RU"/>
        </w:rPr>
        <w:t xml:space="preserve">                                                              (2)</w:t>
      </w:r>
    </w:p>
    <w:p w:rsidR="00AE0A6E" w:rsidRPr="00AE0A6E" w:rsidRDefault="00AE0A6E" w:rsidP="00AE0A6E">
      <w:pPr>
        <w:spacing w:after="0" w:line="360" w:lineRule="auto"/>
        <w:ind w:left="-425" w:firstLine="42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>д</w:t>
      </w:r>
      <w:r w:rsidRPr="00AE0A6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е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∆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'</m:t>
            </m:r>
          </m:sup>
        </m:sSup>
      </m:oMath>
      <w:r w:rsidRPr="00AE0A6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- ширина </w:t>
      </w:r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резонансної кривої на рівні 3 </w:t>
      </w:r>
      <w:proofErr w:type="spellStart"/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>дБ</w:t>
      </w:r>
      <w:proofErr w:type="spellEnd"/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AE0A6E" w:rsidRPr="00AE0A6E" w:rsidRDefault="00AE0A6E" w:rsidP="00AE0A6E">
      <w:pPr>
        <w:spacing w:after="0" w:line="360" w:lineRule="auto"/>
        <w:ind w:left="-425" w:firstLine="42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>Добротність зв</w:t>
      </w:r>
      <w:r w:rsidRPr="00AE0A6E">
        <w:rPr>
          <w:rFonts w:ascii="Times New Roman" w:eastAsiaTheme="minorEastAsia" w:hAnsi="Times New Roman" w:cs="Times New Roman"/>
          <w:sz w:val="28"/>
          <w:szCs w:val="28"/>
          <w:lang w:val="ru-RU"/>
        </w:rPr>
        <w:t>’</w:t>
      </w:r>
      <w:proofErr w:type="spellStart"/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>язку</w:t>
      </w:r>
      <w:proofErr w:type="spellEnd"/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характеризує зв</w:t>
      </w:r>
      <w:r w:rsidRPr="00AE0A6E">
        <w:rPr>
          <w:rFonts w:ascii="Times New Roman" w:eastAsiaTheme="minorEastAsia" w:hAnsi="Times New Roman" w:cs="Times New Roman"/>
          <w:sz w:val="28"/>
          <w:szCs w:val="28"/>
          <w:lang w:val="ru-RU"/>
        </w:rPr>
        <w:t>’</w:t>
      </w:r>
      <w:proofErr w:type="spellStart"/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>язок</w:t>
      </w:r>
      <w:proofErr w:type="spellEnd"/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резонатора з навантаженням:</w:t>
      </w:r>
    </w:p>
    <w:p w:rsidR="00AE0A6E" w:rsidRPr="00207726" w:rsidRDefault="00AE0A6E" w:rsidP="00AE0A6E">
      <w:pPr>
        <w:spacing w:after="0" w:line="360" w:lineRule="auto"/>
        <w:jc w:val="right"/>
        <w:rPr>
          <w:rFonts w:ascii="Garamond" w:eastAsiaTheme="minorEastAsia" w:hAnsi="Garamond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z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0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H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H</m:t>
                </m:r>
              </m:sub>
            </m:sSub>
          </m:den>
        </m:f>
      </m:oMath>
      <w:r w:rsidRPr="00207726">
        <w:rPr>
          <w:rFonts w:ascii="Garamond" w:eastAsiaTheme="minorEastAsia" w:hAnsi="Garamond"/>
          <w:sz w:val="24"/>
          <w:szCs w:val="24"/>
          <w:lang w:val="uk-UA"/>
        </w:rPr>
        <w:t xml:space="preserve">                                                               (3)</w:t>
      </w:r>
    </w:p>
    <w:p w:rsidR="00AE0A6E" w:rsidRPr="00AE0A6E" w:rsidRDefault="00AE0A6E" w:rsidP="00AE0A6E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Коефіцієнт зв’язку:</w:t>
      </w:r>
    </w:p>
    <w:p w:rsidR="00AE0A6E" w:rsidRPr="00AF0923" w:rsidRDefault="00AE0A6E" w:rsidP="00AF0923">
      <w:pPr>
        <w:spacing w:after="0" w:line="360" w:lineRule="auto"/>
        <w:ind w:firstLine="708"/>
        <w:jc w:val="right"/>
        <w:rPr>
          <w:rFonts w:ascii="Garamond" w:eastAsiaTheme="minorEastAsia" w:hAnsi="Garamond"/>
          <w:sz w:val="28"/>
          <w:szCs w:val="28"/>
          <w:lang w:val="ru-RU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K</m:t>
        </m:r>
        <m:r>
          <w:rPr>
            <w:rFonts w:ascii="Cambria Math" w:eastAsiaTheme="minorEastAsia" w:hAnsi="Cambria Math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ru-RU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</m:sub>
            </m:sSub>
          </m:den>
        </m:f>
        <m:r>
          <w:rPr>
            <w:rFonts w:ascii="Cambria Math" w:eastAsiaTheme="minorEastAsia" w:hAnsi="Cambria Math"/>
            <w:sz w:val="28"/>
            <w:szCs w:val="28"/>
            <w:lang w:val="ru-RU"/>
          </w:rPr>
          <m:t>-1</m:t>
        </m:r>
      </m:oMath>
      <w:r w:rsidRPr="00AE0A6E">
        <w:rPr>
          <w:rFonts w:ascii="Garamond" w:eastAsiaTheme="minorEastAsia" w:hAnsi="Garamond"/>
          <w:sz w:val="28"/>
          <w:szCs w:val="28"/>
          <w:lang w:val="ru-RU"/>
        </w:rPr>
        <w:t xml:space="preserve">                                                       </w:t>
      </w:r>
      <w:r w:rsidRPr="00AE0A6E">
        <w:rPr>
          <w:rFonts w:ascii="Garamond" w:eastAsiaTheme="minorEastAsia" w:hAnsi="Garamond"/>
          <w:sz w:val="24"/>
          <w:szCs w:val="24"/>
          <w:lang w:val="ru-RU"/>
        </w:rPr>
        <w:t>(4)</w:t>
      </w:r>
      <w:r w:rsidRPr="00AE0A6E">
        <w:rPr>
          <w:rFonts w:ascii="Garamond" w:eastAsiaTheme="minorEastAsia" w:hAnsi="Garamond"/>
          <w:sz w:val="28"/>
          <w:szCs w:val="28"/>
          <w:lang w:val="ru-RU"/>
        </w:rPr>
        <w:t xml:space="preserve"> </w:t>
      </w:r>
    </w:p>
    <w:p w:rsidR="00AE0A6E" w:rsidRPr="00AE0A6E" w:rsidRDefault="00AE0A6E" w:rsidP="00AE0A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6E">
        <w:rPr>
          <w:rFonts w:ascii="Times New Roman" w:hAnsi="Times New Roman" w:cs="Times New Roman"/>
          <w:sz w:val="28"/>
          <w:szCs w:val="28"/>
          <w:lang w:val="ru-RU"/>
        </w:rPr>
        <w:t xml:space="preserve">Величину </w:t>
      </w:r>
      <w:proofErr w:type="spellStart"/>
      <w:r w:rsidRPr="00AE0A6E">
        <w:rPr>
          <w:rFonts w:ascii="Times New Roman" w:hAnsi="Times New Roman" w:cs="Times New Roman"/>
          <w:sz w:val="28"/>
          <w:szCs w:val="28"/>
          <w:lang w:val="ru-RU"/>
        </w:rPr>
        <w:t>зовнішнього</w:t>
      </w:r>
      <w:proofErr w:type="spellEnd"/>
      <w:r w:rsidRPr="00AE0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0A6E">
        <w:rPr>
          <w:rFonts w:ascii="Times New Roman" w:hAnsi="Times New Roman" w:cs="Times New Roman"/>
          <w:sz w:val="28"/>
          <w:szCs w:val="28"/>
          <w:lang w:val="ru-RU"/>
        </w:rPr>
        <w:t>магнітного</w:t>
      </w:r>
      <w:proofErr w:type="spellEnd"/>
      <w:r w:rsidRPr="00AE0A6E">
        <w:rPr>
          <w:rFonts w:ascii="Times New Roman" w:hAnsi="Times New Roman" w:cs="Times New Roman"/>
          <w:sz w:val="28"/>
          <w:szCs w:val="28"/>
          <w:lang w:val="uk-UA"/>
        </w:rPr>
        <w:t xml:space="preserve"> поля можна визначити через резонансну частоту:</w:t>
      </w:r>
    </w:p>
    <w:p w:rsidR="00AE0A6E" w:rsidRPr="00207726" w:rsidRDefault="00AE0A6E" w:rsidP="00AE0A6E">
      <w:pPr>
        <w:spacing w:after="0" w:line="360" w:lineRule="auto"/>
        <w:ind w:firstLine="708"/>
        <w:jc w:val="right"/>
        <w:rPr>
          <w:rFonts w:ascii="Garamond" w:hAnsi="Garamond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γ</m:t>
            </m:r>
          </m:den>
        </m:f>
      </m:oMath>
      <w:r w:rsidRPr="00207726">
        <w:rPr>
          <w:rFonts w:ascii="Garamond" w:hAnsi="Garamond"/>
          <w:sz w:val="28"/>
          <w:szCs w:val="28"/>
        </w:rPr>
        <w:t xml:space="preserve">                                                          </w:t>
      </w:r>
      <w:r w:rsidR="00AF0923">
        <w:rPr>
          <w:rFonts w:ascii="Garamond" w:hAnsi="Garamond"/>
          <w:sz w:val="24"/>
          <w:szCs w:val="24"/>
        </w:rPr>
        <w:t>(5</w:t>
      </w:r>
      <w:r w:rsidRPr="00207726">
        <w:rPr>
          <w:rFonts w:ascii="Garamond" w:hAnsi="Garamond"/>
          <w:sz w:val="24"/>
          <w:szCs w:val="24"/>
        </w:rPr>
        <w:t>)</w:t>
      </w:r>
    </w:p>
    <w:p w:rsidR="00AE0A6E" w:rsidRDefault="00AE0A6E" w:rsidP="00AE0A6E">
      <w:pPr>
        <w:spacing w:after="0" w:line="360" w:lineRule="auto"/>
        <w:ind w:left="-426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E0A6E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γ=2,8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МГц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Е</m:t>
            </m:r>
          </m:den>
        </m:f>
      </m:oMath>
      <w:r w:rsidRPr="00AE0A6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гіромагнітне співвідношення.</w:t>
      </w:r>
    </w:p>
    <w:p w:rsidR="00AE0A6E" w:rsidRDefault="00AE0A6E" w:rsidP="00AE0A6E">
      <w:pPr>
        <w:spacing w:after="0" w:line="360" w:lineRule="auto"/>
        <w:ind w:left="-426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E0A6E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Хід роботи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AF0923" w:rsidRPr="00AF0923" w:rsidRDefault="00AF0923" w:rsidP="00AF0923">
      <w:pPr>
        <w:pStyle w:val="a3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F0923">
        <w:rPr>
          <w:rFonts w:ascii="Times New Roman" w:hAnsi="Times New Roman" w:cs="Times New Roman"/>
          <w:sz w:val="28"/>
          <w:szCs w:val="28"/>
          <w:lang w:val="uk-UA"/>
        </w:rPr>
        <w:t>Визнач</w:t>
      </w:r>
      <w:r>
        <w:rPr>
          <w:rFonts w:ascii="Times New Roman" w:hAnsi="Times New Roman" w:cs="Times New Roman"/>
          <w:sz w:val="28"/>
          <w:szCs w:val="28"/>
          <w:lang w:val="uk-UA"/>
        </w:rPr>
        <w:t>имо</w:t>
      </w:r>
      <w:r w:rsidRPr="00AF0923">
        <w:rPr>
          <w:rFonts w:ascii="Times New Roman" w:hAnsi="Times New Roman" w:cs="Times New Roman"/>
          <w:sz w:val="28"/>
          <w:szCs w:val="28"/>
          <w:lang w:val="uk-UA"/>
        </w:rPr>
        <w:t xml:space="preserve"> максимальну частотну полосу перестройки ФР в залежності від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величини </w:t>
      </w:r>
      <w:r w:rsidRPr="00AF0923">
        <w:rPr>
          <w:rFonts w:ascii="Times New Roman" w:hAnsi="Times New Roman" w:cs="Times New Roman"/>
          <w:sz w:val="28"/>
          <w:szCs w:val="28"/>
          <w:lang w:val="uk-UA"/>
        </w:rPr>
        <w:t>зовнішнього магнітного поля:</w:t>
      </w:r>
    </w:p>
    <w:p w:rsidR="00AF0923" w:rsidRPr="00207726" w:rsidRDefault="00AF0923" w:rsidP="00AF0923">
      <w:pPr>
        <w:pStyle w:val="a3"/>
        <w:spacing w:line="240" w:lineRule="auto"/>
        <w:ind w:left="142"/>
        <w:jc w:val="center"/>
        <w:rPr>
          <w:rFonts w:ascii="Garamond" w:eastAsiaTheme="minorEastAsia" w:hAnsi="Garamond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min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=2.4</m:t>
          </m:r>
          <m:r>
            <w:rPr>
              <w:rFonts w:ascii="Cambria Math" w:hAnsi="Cambria Math" w:cs="Times New Roman"/>
              <w:sz w:val="24"/>
              <w:szCs w:val="24"/>
            </w:rPr>
            <m:t>00 ГГц</m:t>
          </m:r>
        </m:oMath>
      </m:oMathPara>
    </w:p>
    <w:p w:rsidR="00AF0923" w:rsidRPr="00207726" w:rsidRDefault="00AF0923" w:rsidP="00AF0923">
      <w:pPr>
        <w:pStyle w:val="a3"/>
        <w:spacing w:line="240" w:lineRule="auto"/>
        <w:ind w:left="142"/>
        <w:jc w:val="center"/>
        <w:rPr>
          <w:rFonts w:ascii="Garamond" w:eastAsiaTheme="minorEastAsia" w:hAnsi="Garamond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max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=3.9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50 ГГц</m:t>
          </m:r>
        </m:oMath>
      </m:oMathPara>
    </w:p>
    <w:p w:rsidR="00AF0923" w:rsidRPr="00207726" w:rsidRDefault="00AF0923" w:rsidP="00AF0923">
      <w:pPr>
        <w:pStyle w:val="a3"/>
        <w:spacing w:line="240" w:lineRule="auto"/>
        <w:ind w:left="142"/>
        <w:jc w:val="center"/>
        <w:rPr>
          <w:rFonts w:ascii="Garamond" w:eastAsiaTheme="minorEastAsia" w:hAnsi="Garamond" w:cs="Times New Roman"/>
          <w:i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∆F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=1.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550 ГГц</m:t>
          </m:r>
        </m:oMath>
      </m:oMathPara>
    </w:p>
    <w:p w:rsidR="00AE0A6E" w:rsidRPr="00AF0923" w:rsidRDefault="00AF0923" w:rsidP="00AF0923">
      <w:pPr>
        <w:pStyle w:val="a3"/>
        <w:numPr>
          <w:ilvl w:val="0"/>
          <w:numId w:val="2"/>
        </w:numPr>
        <w:spacing w:after="0" w:line="360" w:lineRule="auto"/>
        <w:ind w:left="0" w:firstLine="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>Н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ru-RU"/>
        </w:rPr>
        <w:t>а</w:t>
      </w:r>
      <w:r w:rsidRPr="00AF09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F0923">
        <w:rPr>
          <w:rFonts w:ascii="Times New Roman" w:eastAsiaTheme="minorEastAsia" w:hAnsi="Times New Roman" w:cs="Times New Roman"/>
          <w:sz w:val="28"/>
          <w:szCs w:val="28"/>
        </w:rPr>
        <w:t>6</w:t>
      </w:r>
      <w:r w:rsidRPr="00AF09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>рівних</w:t>
      </w:r>
      <w:r w:rsidRPr="00AF09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>проміжках частотної полоси перестройки визнач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>имо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резонансну частоту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</m:sSub>
      </m:oMath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∆f</m:t>
        </m:r>
      </m:oMath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∆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'</m:t>
            </m:r>
          </m:sup>
        </m:sSup>
      </m:oMath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>, величини добротностей: власної, навантаженої та зв</w:t>
      </w:r>
      <w:r w:rsidRPr="00AF0923">
        <w:rPr>
          <w:rFonts w:ascii="Times New Roman" w:eastAsiaTheme="minorEastAsia" w:hAnsi="Times New Roman" w:cs="Times New Roman"/>
          <w:sz w:val="28"/>
          <w:szCs w:val="28"/>
        </w:rPr>
        <w:t>’</w:t>
      </w:r>
      <w:proofErr w:type="spellStart"/>
      <w:r w:rsidRPr="00AF0923">
        <w:rPr>
          <w:rFonts w:ascii="Times New Roman" w:eastAsiaTheme="minorEastAsia" w:hAnsi="Times New Roman" w:cs="Times New Roman"/>
          <w:sz w:val="28"/>
          <w:szCs w:val="28"/>
          <w:lang w:val="ru-RU"/>
        </w:rPr>
        <w:t>язку</w:t>
      </w:r>
      <w:proofErr w:type="spellEnd"/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H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z</m:t>
            </m:r>
          </m:sub>
        </m:sSub>
      </m:oMath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>(за формулами (1) – (3)  відповідно)</w:t>
      </w:r>
      <w:r w:rsidRPr="00AF0923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>коефіцієнт зв</w:t>
      </w:r>
      <w:r w:rsidRPr="00AF0923">
        <w:rPr>
          <w:rFonts w:ascii="Times New Roman" w:eastAsiaTheme="minorEastAsia" w:hAnsi="Times New Roman" w:cs="Times New Roman"/>
          <w:sz w:val="28"/>
          <w:szCs w:val="28"/>
        </w:rPr>
        <w:t>’</w:t>
      </w:r>
      <w:proofErr w:type="spellStart"/>
      <w:r w:rsidRPr="00AF0923">
        <w:rPr>
          <w:rFonts w:ascii="Times New Roman" w:eastAsiaTheme="minorEastAsia" w:hAnsi="Times New Roman" w:cs="Times New Roman"/>
          <w:sz w:val="28"/>
          <w:szCs w:val="28"/>
          <w:lang w:val="ru-RU"/>
        </w:rPr>
        <w:t>язку</w:t>
      </w:r>
      <w:proofErr w:type="spellEnd"/>
      <w:r w:rsidRPr="00AF09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ru-RU"/>
        </w:rPr>
        <w:t>ФР</w:t>
      </w:r>
      <w:r w:rsidRPr="00AF09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ru-RU"/>
        </w:rPr>
        <w:t>з</w:t>
      </w:r>
      <w:r w:rsidRPr="00AF09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лінією передачі К (4)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рівень поглинання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L</m:t>
        </m:r>
      </m:oMath>
      <w:r w:rsidRPr="00AF09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та величину зовнішнього магнітного поля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H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(</w:t>
      </w:r>
      <w:r>
        <w:rPr>
          <w:rFonts w:ascii="Times New Roman" w:eastAsiaTheme="minorEastAsia" w:hAnsi="Times New Roman" w:cs="Times New Roman"/>
          <w:sz w:val="28"/>
          <w:szCs w:val="28"/>
        </w:rPr>
        <w:t>5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Pr="00AF0923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AF0923" w:rsidRDefault="00AF0923" w:rsidP="00AF092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AF0923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Результати вимірів: </w:t>
      </w:r>
    </w:p>
    <w:tbl>
      <w:tblPr>
        <w:tblW w:w="9432" w:type="dxa"/>
        <w:jc w:val="center"/>
        <w:tblLook w:val="04A0" w:firstRow="1" w:lastRow="0" w:firstColumn="1" w:lastColumn="0" w:noHBand="0" w:noVBand="1"/>
      </w:tblPr>
      <w:tblGrid>
        <w:gridCol w:w="1129"/>
        <w:gridCol w:w="967"/>
        <w:gridCol w:w="1048"/>
        <w:gridCol w:w="1048"/>
        <w:gridCol w:w="1048"/>
        <w:gridCol w:w="1048"/>
        <w:gridCol w:w="1048"/>
        <w:gridCol w:w="1048"/>
        <w:gridCol w:w="1126"/>
      </w:tblGrid>
      <w:tr w:rsidR="00AF0923" w:rsidRPr="00AF0923" w:rsidTr="007113C4">
        <w:trPr>
          <w:trHeight w:val="33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923" w:rsidRPr="00AF0923" w:rsidRDefault="00AF0923" w:rsidP="00AF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</w:t>
            </w: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0</w:t>
            </w: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GHz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923" w:rsidRPr="00AF0923" w:rsidRDefault="00AF0923" w:rsidP="00AF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∆f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923" w:rsidRPr="00AF0923" w:rsidRDefault="00AF0923" w:rsidP="00AF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∆f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'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923" w:rsidRPr="00AF0923" w:rsidRDefault="00AF0923" w:rsidP="00AF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L, </w:t>
            </w:r>
            <w:proofErr w:type="spellStart"/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дБ</w:t>
            </w:r>
            <w:proofErr w:type="spellEnd"/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923" w:rsidRPr="00AF0923" w:rsidRDefault="00AF0923" w:rsidP="00AF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</w:t>
            </w: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923" w:rsidRPr="00AF0923" w:rsidRDefault="00AF0923" w:rsidP="00AF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</w:t>
            </w: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н</w:t>
            </w:r>
            <w:proofErr w:type="spellEnd"/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923" w:rsidRPr="00AF0923" w:rsidRDefault="00AF0923" w:rsidP="00AF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</w:t>
            </w: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z</w:t>
            </w:r>
            <w:proofErr w:type="spellEnd"/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923" w:rsidRPr="00AF0923" w:rsidRDefault="00AF0923" w:rsidP="00AF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923" w:rsidRPr="00AF0923" w:rsidRDefault="00AF0923" w:rsidP="00AF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</w:t>
            </w: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0</w:t>
            </w:r>
          </w:p>
        </w:tc>
      </w:tr>
      <w:tr w:rsidR="007113C4" w:rsidRPr="00AF0923" w:rsidTr="007113C4">
        <w:trPr>
          <w:trHeight w:val="33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2.485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0.033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0.276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75.30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10.23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7.36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7113C4" w:rsidRDefault="007113C4" w:rsidP="007113C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13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887.50</w:t>
            </w:r>
          </w:p>
        </w:tc>
      </w:tr>
      <w:tr w:rsidR="007113C4" w:rsidRPr="00AF0923" w:rsidTr="007113C4">
        <w:trPr>
          <w:trHeight w:val="33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2.686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0.054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0.247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20.3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49.74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10.87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13.92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3.57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7113C4" w:rsidRDefault="007113C4" w:rsidP="007113C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13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959.29</w:t>
            </w:r>
          </w:p>
        </w:tc>
      </w:tr>
      <w:tr w:rsidR="007113C4" w:rsidRPr="00AF0923" w:rsidTr="007113C4">
        <w:trPr>
          <w:trHeight w:val="33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2.96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0.227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19.8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67.27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13.04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16.17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7113C4" w:rsidRDefault="007113C4" w:rsidP="007113C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13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1057.14</w:t>
            </w:r>
          </w:p>
        </w:tc>
      </w:tr>
      <w:tr w:rsidR="007113C4" w:rsidRPr="00AF0923" w:rsidTr="007113C4">
        <w:trPr>
          <w:trHeight w:val="33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3.22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0.053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0.25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19.6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60.75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12.88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16.35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3.72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7113C4" w:rsidRDefault="007113C4" w:rsidP="007113C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13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1150.00</w:t>
            </w:r>
          </w:p>
        </w:tc>
      </w:tr>
      <w:tr w:rsidR="007113C4" w:rsidRPr="00AF0923" w:rsidTr="007113C4">
        <w:trPr>
          <w:trHeight w:val="33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3.577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0.043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0.194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83.19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18.44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23.69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3.51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7113C4" w:rsidRDefault="007113C4" w:rsidP="007113C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13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1277.50</w:t>
            </w:r>
          </w:p>
        </w:tc>
      </w:tr>
      <w:tr w:rsidR="007113C4" w:rsidRPr="00AF0923" w:rsidTr="007113C4">
        <w:trPr>
          <w:trHeight w:val="33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3.883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0.061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0.223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63.66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17.41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23.97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AF0923" w:rsidRDefault="007113C4" w:rsidP="00711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09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2.66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3C4" w:rsidRPr="007113C4" w:rsidRDefault="007113C4" w:rsidP="007113C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13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1386.79</w:t>
            </w:r>
          </w:p>
        </w:tc>
      </w:tr>
    </w:tbl>
    <w:p w:rsidR="00AF0923" w:rsidRDefault="00AF0923" w:rsidP="00AF0923">
      <w:pPr>
        <w:pStyle w:val="a3"/>
        <w:spacing w:after="0" w:line="360" w:lineRule="auto"/>
        <w:ind w:left="6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7795" w:rsidRDefault="00D87795" w:rsidP="00AF0923">
      <w:pPr>
        <w:pStyle w:val="a3"/>
        <w:spacing w:after="0" w:line="360" w:lineRule="auto"/>
        <w:ind w:left="6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87795" w:rsidRDefault="00D87795" w:rsidP="00AF0923">
      <w:pPr>
        <w:pStyle w:val="a3"/>
        <w:spacing w:after="0" w:line="360" w:lineRule="auto"/>
        <w:ind w:left="6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87795" w:rsidRDefault="00D87795" w:rsidP="00AF0923">
      <w:pPr>
        <w:pStyle w:val="a3"/>
        <w:spacing w:after="0" w:line="360" w:lineRule="auto"/>
        <w:ind w:left="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795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AF0923" w:rsidRPr="00D87795" w:rsidRDefault="00D87795" w:rsidP="00D877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даній лабораторній роботі було проведено дослідження смуго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пропускаючого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фільтра . З отриманих даних можна зробити висновок, що </w:t>
      </w:r>
      <w:r w:rsidR="007113C4" w:rsidRPr="00D87795">
        <w:rPr>
          <w:rFonts w:ascii="Times New Roman" w:hAnsi="Times New Roman" w:cs="Times New Roman"/>
          <w:sz w:val="28"/>
          <w:szCs w:val="28"/>
          <w:lang w:val="uk-UA"/>
        </w:rPr>
        <w:t>зі з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7113C4" w:rsidRPr="00D87795">
        <w:rPr>
          <w:rFonts w:ascii="Times New Roman" w:hAnsi="Times New Roman" w:cs="Times New Roman"/>
          <w:sz w:val="28"/>
          <w:szCs w:val="28"/>
          <w:lang w:val="uk-UA"/>
        </w:rPr>
        <w:t xml:space="preserve">останням величини зовнішнього магнітного поля коефіцієнт зв’язку з лінією передачі </w:t>
      </w:r>
      <w:r>
        <w:rPr>
          <w:rFonts w:ascii="Times New Roman" w:hAnsi="Times New Roman" w:cs="Times New Roman"/>
          <w:sz w:val="28"/>
          <w:szCs w:val="28"/>
          <w:lang w:val="uk-UA"/>
        </w:rPr>
        <w:t>спадає, власна добротність, добротність навантаженого резонатора та добротність зв’язку – зростає.</w:t>
      </w:r>
      <w:bookmarkStart w:id="0" w:name="_GoBack"/>
      <w:bookmarkEnd w:id="0"/>
    </w:p>
    <w:sectPr w:rsidR="00AF0923" w:rsidRPr="00D87795" w:rsidSect="00AE0A6E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7E6589"/>
    <w:multiLevelType w:val="hybridMultilevel"/>
    <w:tmpl w:val="019E631C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>
    <w:nsid w:val="632A0A6A"/>
    <w:multiLevelType w:val="hybridMultilevel"/>
    <w:tmpl w:val="3DE02988"/>
    <w:lvl w:ilvl="0" w:tplc="2886F08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32F26"/>
    <w:multiLevelType w:val="hybridMultilevel"/>
    <w:tmpl w:val="FE1C34AE"/>
    <w:lvl w:ilvl="0" w:tplc="89B8E5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A6E"/>
    <w:rsid w:val="005577B9"/>
    <w:rsid w:val="007113C4"/>
    <w:rsid w:val="00AE0A6E"/>
    <w:rsid w:val="00AF0923"/>
    <w:rsid w:val="00D8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8F5E6-9D7D-4C13-9B7C-80611203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9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8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3122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1</cp:revision>
  <dcterms:created xsi:type="dcterms:W3CDTF">2014-12-03T23:02:00Z</dcterms:created>
  <dcterms:modified xsi:type="dcterms:W3CDTF">2014-12-03T23:39:00Z</dcterms:modified>
</cp:coreProperties>
</file>