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080" w:rsidRPr="00A06080" w:rsidRDefault="00A06080" w:rsidP="00A06080">
      <w:pPr>
        <w:pStyle w:val="a3"/>
        <w:spacing w:before="0" w:beforeAutospacing="0" w:after="0" w:afterAutospacing="0"/>
        <w:rPr>
          <w:sz w:val="22"/>
          <w:szCs w:val="22"/>
        </w:rPr>
      </w:pPr>
      <w:r w:rsidRPr="00A06080">
        <w:rPr>
          <w:bCs/>
          <w:sz w:val="22"/>
          <w:szCs w:val="22"/>
        </w:rPr>
        <w:t>Франко-російська війна</w:t>
      </w:r>
      <w:r w:rsidRPr="00A06080">
        <w:rPr>
          <w:sz w:val="22"/>
          <w:szCs w:val="22"/>
        </w:rPr>
        <w:t xml:space="preserve"> (у російській історіографії звана </w:t>
      </w:r>
      <w:r w:rsidRPr="00A06080">
        <w:rPr>
          <w:bCs/>
          <w:sz w:val="22"/>
          <w:szCs w:val="22"/>
        </w:rPr>
        <w:t>Вітчизняною війною 1812 року</w:t>
      </w:r>
      <w:r w:rsidRPr="00A06080">
        <w:rPr>
          <w:sz w:val="22"/>
          <w:szCs w:val="22"/>
        </w:rPr>
        <w:t xml:space="preserve">, у </w:t>
      </w:r>
      <w:proofErr w:type="spellStart"/>
      <w:r w:rsidRPr="00A06080">
        <w:rPr>
          <w:sz w:val="22"/>
          <w:szCs w:val="22"/>
        </w:rPr>
        <w:t>наполеонознавстві</w:t>
      </w:r>
      <w:proofErr w:type="spellEnd"/>
      <w:r w:rsidRPr="00A06080">
        <w:rPr>
          <w:sz w:val="22"/>
          <w:szCs w:val="22"/>
        </w:rPr>
        <w:t xml:space="preserve"> також використовується термін «</w:t>
      </w:r>
      <w:r w:rsidRPr="00A06080">
        <w:rPr>
          <w:bCs/>
          <w:sz w:val="22"/>
          <w:szCs w:val="22"/>
        </w:rPr>
        <w:t>Російська кампанія 1812 року</w:t>
      </w:r>
      <w:r w:rsidRPr="00A06080">
        <w:rPr>
          <w:sz w:val="22"/>
          <w:szCs w:val="22"/>
        </w:rPr>
        <w:t xml:space="preserve">») — одна з кількох </w:t>
      </w:r>
      <w:hyperlink r:id="rId5" w:tooltip="Наполеонівські війни" w:history="1">
        <w:r w:rsidRPr="00A06080">
          <w:rPr>
            <w:rStyle w:val="a4"/>
            <w:color w:val="auto"/>
            <w:sz w:val="22"/>
            <w:szCs w:val="22"/>
            <w:u w:val="none"/>
          </w:rPr>
          <w:t>воєн</w:t>
        </w:r>
      </w:hyperlink>
      <w:r w:rsidRPr="00A06080">
        <w:rPr>
          <w:sz w:val="22"/>
          <w:szCs w:val="22"/>
        </w:rPr>
        <w:t xml:space="preserve">, проведених </w:t>
      </w:r>
      <w:hyperlink r:id="rId6" w:tooltip="Франція" w:history="1">
        <w:r w:rsidRPr="00A06080">
          <w:rPr>
            <w:rStyle w:val="a4"/>
            <w:color w:val="auto"/>
            <w:sz w:val="22"/>
            <w:szCs w:val="22"/>
            <w:u w:val="none"/>
          </w:rPr>
          <w:t>Францією</w:t>
        </w:r>
      </w:hyperlink>
      <w:r w:rsidRPr="00A06080">
        <w:rPr>
          <w:sz w:val="22"/>
          <w:szCs w:val="22"/>
        </w:rPr>
        <w:t xml:space="preserve"> в період Консульства (1799-1804) і імперії Наполеона (1804-1814, 1815).</w:t>
      </w:r>
    </w:p>
    <w:p w:rsidR="00A06080" w:rsidRPr="00A06080" w:rsidRDefault="00A06080" w:rsidP="00A06080">
      <w:pPr>
        <w:pStyle w:val="a3"/>
        <w:spacing w:before="0" w:beforeAutospacing="0" w:after="0" w:afterAutospacing="0"/>
        <w:rPr>
          <w:sz w:val="22"/>
          <w:szCs w:val="22"/>
        </w:rPr>
      </w:pPr>
      <w:r w:rsidRPr="00A06080">
        <w:rPr>
          <w:sz w:val="22"/>
          <w:szCs w:val="22"/>
        </w:rPr>
        <w:t xml:space="preserve">Закінчилася майже повним знищенням наполеонівської армії і перенесенням військових дій на територію </w:t>
      </w:r>
      <w:hyperlink r:id="rId7" w:tooltip="Польща" w:history="1">
        <w:r w:rsidRPr="00A06080">
          <w:rPr>
            <w:rStyle w:val="a4"/>
            <w:color w:val="auto"/>
            <w:sz w:val="22"/>
            <w:szCs w:val="22"/>
            <w:u w:val="none"/>
          </w:rPr>
          <w:t>Польщі</w:t>
        </w:r>
      </w:hyperlink>
      <w:r w:rsidRPr="00A06080">
        <w:rPr>
          <w:sz w:val="22"/>
          <w:szCs w:val="22"/>
        </w:rPr>
        <w:t xml:space="preserve"> та Німеччини в 1813 році (</w:t>
      </w:r>
      <w:r w:rsidRPr="00A06080">
        <w:rPr>
          <w:iCs/>
          <w:sz w:val="22"/>
          <w:szCs w:val="22"/>
        </w:rPr>
        <w:t>Закордонні походи 1813–1814 років</w:t>
      </w:r>
      <w:r w:rsidRPr="00A06080">
        <w:rPr>
          <w:sz w:val="22"/>
          <w:szCs w:val="22"/>
        </w:rPr>
        <w:t>).</w:t>
      </w:r>
    </w:p>
    <w:p w:rsidR="00A06080" w:rsidRPr="00A06080" w:rsidRDefault="00A06080" w:rsidP="00A06080">
      <w:pPr>
        <w:pStyle w:val="a3"/>
        <w:spacing w:before="0" w:beforeAutospacing="0" w:after="0" w:afterAutospacing="0"/>
        <w:rPr>
          <w:sz w:val="22"/>
          <w:szCs w:val="22"/>
        </w:rPr>
      </w:pPr>
      <w:hyperlink r:id="rId8" w:tooltip="Бородінська битва" w:history="1">
        <w:r w:rsidRPr="00A06080">
          <w:rPr>
            <w:rStyle w:val="a4"/>
            <w:color w:val="auto"/>
            <w:sz w:val="22"/>
            <w:szCs w:val="22"/>
            <w:u w:val="none"/>
          </w:rPr>
          <w:t>Бородінська битва</w:t>
        </w:r>
      </w:hyperlink>
      <w:r w:rsidRPr="00A06080">
        <w:rPr>
          <w:sz w:val="22"/>
          <w:szCs w:val="22"/>
        </w:rPr>
        <w:t xml:space="preserve"> — найбільша битва війни відбулася 7 вересня (</w:t>
      </w:r>
      <w:hyperlink r:id="rId9" w:tooltip="26 серпня" w:history="1">
        <w:r w:rsidRPr="00A06080">
          <w:rPr>
            <w:rStyle w:val="a4"/>
            <w:color w:val="auto"/>
            <w:sz w:val="22"/>
            <w:szCs w:val="22"/>
            <w:u w:val="none"/>
          </w:rPr>
          <w:t>26 серпня</w:t>
        </w:r>
      </w:hyperlink>
      <w:r w:rsidRPr="00A06080">
        <w:rPr>
          <w:sz w:val="22"/>
          <w:szCs w:val="22"/>
        </w:rPr>
        <w:t xml:space="preserve">) 1812 біля села Бородіно (125 км на захід від </w:t>
      </w:r>
      <w:hyperlink r:id="rId10" w:tooltip="Москва" w:history="1">
        <w:r w:rsidRPr="00A06080">
          <w:rPr>
            <w:rStyle w:val="a4"/>
            <w:color w:val="auto"/>
            <w:sz w:val="22"/>
            <w:szCs w:val="22"/>
            <w:u w:val="none"/>
          </w:rPr>
          <w:t>Москви</w:t>
        </w:r>
      </w:hyperlink>
      <w:r w:rsidRPr="00A06080">
        <w:rPr>
          <w:sz w:val="22"/>
          <w:szCs w:val="22"/>
        </w:rPr>
        <w:t>).</w:t>
      </w:r>
    </w:p>
    <w:p w:rsidR="00A06080" w:rsidRPr="00A06080" w:rsidRDefault="00A06080" w:rsidP="00A06080">
      <w:pPr>
        <w:pStyle w:val="a3"/>
        <w:spacing w:before="0" w:beforeAutospacing="0" w:after="0" w:afterAutospacing="0"/>
        <w:rPr>
          <w:sz w:val="22"/>
          <w:szCs w:val="22"/>
        </w:rPr>
      </w:pPr>
      <w:r w:rsidRPr="00A06080">
        <w:rPr>
          <w:sz w:val="22"/>
          <w:szCs w:val="22"/>
        </w:rPr>
        <w:t xml:space="preserve">У ніч на 12 (24) червня 1812 р. без </w:t>
      </w:r>
      <w:hyperlink r:id="rId11" w:tooltip="Оголошення війни (ще не написана)" w:history="1">
        <w:r w:rsidRPr="00A06080">
          <w:rPr>
            <w:rStyle w:val="a4"/>
            <w:color w:val="auto"/>
            <w:sz w:val="22"/>
            <w:szCs w:val="22"/>
            <w:u w:val="none"/>
          </w:rPr>
          <w:t>оголошення війни</w:t>
        </w:r>
      </w:hyperlink>
      <w:r w:rsidRPr="00A06080">
        <w:rPr>
          <w:sz w:val="22"/>
          <w:szCs w:val="22"/>
        </w:rPr>
        <w:t xml:space="preserve"> армія </w:t>
      </w:r>
      <w:hyperlink r:id="rId12" w:tooltip="Наполеон I Бонапарт" w:history="1">
        <w:r w:rsidRPr="00A06080">
          <w:rPr>
            <w:rStyle w:val="a4"/>
            <w:color w:val="auto"/>
            <w:sz w:val="22"/>
            <w:szCs w:val="22"/>
            <w:u w:val="none"/>
          </w:rPr>
          <w:t>Наполеона Бонапарта</w:t>
        </w:r>
      </w:hyperlink>
      <w:r w:rsidRPr="00A06080">
        <w:rPr>
          <w:sz w:val="22"/>
          <w:szCs w:val="22"/>
        </w:rPr>
        <w:t xml:space="preserve"> вторгнулася на західних кордонах </w:t>
      </w:r>
      <w:hyperlink r:id="rId13" w:tooltip="Російська імперія" w:history="1">
        <w:r w:rsidRPr="00A06080">
          <w:rPr>
            <w:rStyle w:val="a4"/>
            <w:color w:val="auto"/>
            <w:sz w:val="22"/>
            <w:szCs w:val="22"/>
            <w:u w:val="none"/>
          </w:rPr>
          <w:t>Російської імперії</w:t>
        </w:r>
      </w:hyperlink>
      <w:r w:rsidRPr="00A06080">
        <w:rPr>
          <w:sz w:val="22"/>
          <w:szCs w:val="22"/>
        </w:rPr>
        <w:t xml:space="preserve">. Наполеонівська Франція вважала війну превентивною і доречною, так як очікувалося, що Росія захоче атакувати Європу. У момент вторгнення на західних кордонах зосереджувалися армії: перша під командуванням </w:t>
      </w:r>
      <w:hyperlink r:id="rId14" w:tooltip="Барклай-де-Толлі Михайло Богданович" w:history="1">
        <w:r w:rsidRPr="00A06080">
          <w:rPr>
            <w:rStyle w:val="a4"/>
            <w:color w:val="auto"/>
            <w:sz w:val="22"/>
            <w:szCs w:val="22"/>
            <w:u w:val="none"/>
          </w:rPr>
          <w:t>М. Б. </w:t>
        </w:r>
        <w:proofErr w:type="spellStart"/>
        <w:r w:rsidRPr="00A06080">
          <w:rPr>
            <w:rStyle w:val="a4"/>
            <w:color w:val="auto"/>
            <w:sz w:val="22"/>
            <w:szCs w:val="22"/>
            <w:u w:val="none"/>
          </w:rPr>
          <w:t>Барклай-де-Толлі</w:t>
        </w:r>
        <w:proofErr w:type="spellEnd"/>
      </w:hyperlink>
      <w:r w:rsidRPr="00A06080">
        <w:rPr>
          <w:sz w:val="22"/>
          <w:szCs w:val="22"/>
        </w:rPr>
        <w:t xml:space="preserve">, друга — </w:t>
      </w:r>
      <w:hyperlink r:id="rId15" w:tooltip="Багратіон Петро Іванович" w:history="1">
        <w:r w:rsidRPr="00A06080">
          <w:rPr>
            <w:rStyle w:val="a4"/>
            <w:color w:val="auto"/>
            <w:sz w:val="22"/>
            <w:szCs w:val="22"/>
            <w:u w:val="none"/>
          </w:rPr>
          <w:t>П. І. Багратіона</w:t>
        </w:r>
      </w:hyperlink>
      <w:r w:rsidRPr="00A06080">
        <w:rPr>
          <w:sz w:val="22"/>
          <w:szCs w:val="22"/>
        </w:rPr>
        <w:t xml:space="preserve">, третя — </w:t>
      </w:r>
      <w:hyperlink r:id="rId16" w:tooltip="О. П. Тормасов (ще не написана)" w:history="1">
        <w:r w:rsidRPr="00A06080">
          <w:rPr>
            <w:rStyle w:val="a4"/>
            <w:color w:val="auto"/>
            <w:sz w:val="22"/>
            <w:szCs w:val="22"/>
            <w:u w:val="none"/>
          </w:rPr>
          <w:t>О. П. Тормасова</w:t>
        </w:r>
      </w:hyperlink>
      <w:r w:rsidRPr="00A06080">
        <w:rPr>
          <w:sz w:val="22"/>
          <w:szCs w:val="22"/>
        </w:rPr>
        <w:t xml:space="preserve">. Остання перебувала на </w:t>
      </w:r>
      <w:hyperlink r:id="rId17" w:tooltip="Волинь" w:history="1">
        <w:r w:rsidRPr="00A06080">
          <w:rPr>
            <w:rStyle w:val="a4"/>
            <w:color w:val="auto"/>
            <w:sz w:val="22"/>
            <w:szCs w:val="22"/>
            <w:u w:val="none"/>
          </w:rPr>
          <w:t>Волині</w:t>
        </w:r>
      </w:hyperlink>
      <w:r w:rsidRPr="00A06080">
        <w:rPr>
          <w:sz w:val="22"/>
          <w:szCs w:val="22"/>
        </w:rPr>
        <w:t xml:space="preserve"> між </w:t>
      </w:r>
      <w:hyperlink r:id="rId18" w:tooltip="Любомль" w:history="1">
        <w:r w:rsidRPr="00A06080">
          <w:rPr>
            <w:rStyle w:val="a4"/>
            <w:color w:val="auto"/>
            <w:sz w:val="22"/>
            <w:szCs w:val="22"/>
            <w:u w:val="none"/>
          </w:rPr>
          <w:t>Любомлем</w:t>
        </w:r>
      </w:hyperlink>
      <w:r w:rsidRPr="00A06080">
        <w:rPr>
          <w:sz w:val="22"/>
          <w:szCs w:val="22"/>
        </w:rPr>
        <w:t xml:space="preserve"> і </w:t>
      </w:r>
      <w:proofErr w:type="spellStart"/>
      <w:r w:rsidRPr="00A06080">
        <w:rPr>
          <w:sz w:val="22"/>
          <w:szCs w:val="22"/>
        </w:rPr>
        <w:t>Старокостянтиновом</w:t>
      </w:r>
      <w:proofErr w:type="spellEnd"/>
      <w:r w:rsidRPr="00A06080">
        <w:rPr>
          <w:sz w:val="22"/>
          <w:szCs w:val="22"/>
        </w:rPr>
        <w:t>. Французькі війська захопили у Волинській губернії Ковельський, Володимирський повіти і частину Луцького.</w:t>
      </w:r>
    </w:p>
    <w:p w:rsidR="00A06080" w:rsidRPr="00A06080" w:rsidRDefault="00A06080" w:rsidP="00A06080">
      <w:pPr>
        <w:pStyle w:val="a3"/>
        <w:spacing w:before="0" w:beforeAutospacing="0" w:after="0" w:afterAutospacing="0"/>
        <w:rPr>
          <w:sz w:val="22"/>
          <w:szCs w:val="22"/>
        </w:rPr>
      </w:pPr>
      <w:r w:rsidRPr="00A06080">
        <w:rPr>
          <w:sz w:val="22"/>
          <w:szCs w:val="22"/>
        </w:rPr>
        <w:t xml:space="preserve">Для забезпечення російської армії продовольством, фуражем, спорядженням в </w:t>
      </w:r>
      <w:hyperlink r:id="rId19" w:tooltip="Ізяслав" w:history="1">
        <w:proofErr w:type="spellStart"/>
        <w:r w:rsidRPr="00A06080">
          <w:rPr>
            <w:rStyle w:val="a4"/>
            <w:color w:val="auto"/>
            <w:sz w:val="22"/>
            <w:szCs w:val="22"/>
            <w:u w:val="none"/>
          </w:rPr>
          <w:t>Ізяславі</w:t>
        </w:r>
        <w:proofErr w:type="spellEnd"/>
      </w:hyperlink>
      <w:r w:rsidRPr="00A06080">
        <w:rPr>
          <w:sz w:val="22"/>
          <w:szCs w:val="22"/>
        </w:rPr>
        <w:t xml:space="preserve">, </w:t>
      </w:r>
      <w:hyperlink r:id="rId20" w:tooltip="Старокостянтинів" w:history="1">
        <w:proofErr w:type="spellStart"/>
        <w:r w:rsidRPr="00A06080">
          <w:rPr>
            <w:rStyle w:val="a4"/>
            <w:color w:val="auto"/>
            <w:sz w:val="22"/>
            <w:szCs w:val="22"/>
            <w:u w:val="none"/>
          </w:rPr>
          <w:t>Старокостянтинові</w:t>
        </w:r>
        <w:proofErr w:type="spellEnd"/>
      </w:hyperlink>
      <w:r w:rsidRPr="00A06080">
        <w:rPr>
          <w:sz w:val="22"/>
          <w:szCs w:val="22"/>
        </w:rPr>
        <w:t xml:space="preserve">, </w:t>
      </w:r>
      <w:hyperlink r:id="rId21" w:tooltip="Житомир" w:history="1">
        <w:r w:rsidRPr="00A06080">
          <w:rPr>
            <w:rStyle w:val="a4"/>
            <w:color w:val="auto"/>
            <w:sz w:val="22"/>
            <w:szCs w:val="22"/>
            <w:u w:val="none"/>
          </w:rPr>
          <w:t>Житомирі</w:t>
        </w:r>
      </w:hyperlink>
      <w:r w:rsidRPr="00A06080">
        <w:rPr>
          <w:sz w:val="22"/>
          <w:szCs w:val="22"/>
        </w:rPr>
        <w:t xml:space="preserve"> та інших містах створювалися так звані «магазини» — тилові бази.</w:t>
      </w:r>
    </w:p>
    <w:p w:rsidR="00A06080" w:rsidRPr="00A06080" w:rsidRDefault="00A06080" w:rsidP="00A06080">
      <w:pPr>
        <w:pStyle w:val="a3"/>
        <w:spacing w:before="0" w:beforeAutospacing="0" w:after="0" w:afterAutospacing="0"/>
        <w:rPr>
          <w:sz w:val="22"/>
          <w:szCs w:val="22"/>
        </w:rPr>
      </w:pPr>
      <w:r w:rsidRPr="00A06080">
        <w:rPr>
          <w:sz w:val="22"/>
          <w:szCs w:val="22"/>
        </w:rPr>
        <w:t>Варто звернути увагу, що наполеонівські війська знайшли значну підтримку серед поляків, особливо польських шляхетських родів, які сподівалися за підтримки Наполеона відновити колишню велич Речі Посполитої.</w:t>
      </w:r>
    </w:p>
    <w:p w:rsidR="00A06080" w:rsidRPr="00A06080" w:rsidRDefault="00A06080" w:rsidP="00A06080">
      <w:pPr>
        <w:pStyle w:val="a3"/>
        <w:spacing w:before="0" w:beforeAutospacing="0" w:after="0" w:afterAutospacing="0"/>
        <w:rPr>
          <w:sz w:val="22"/>
          <w:szCs w:val="22"/>
        </w:rPr>
      </w:pPr>
      <w:r w:rsidRPr="00A06080">
        <w:rPr>
          <w:sz w:val="22"/>
          <w:szCs w:val="22"/>
        </w:rPr>
        <w:t xml:space="preserve">15 червня 1812 року надійшов попередній </w:t>
      </w:r>
      <w:hyperlink r:id="rId22" w:tooltip="Наказ" w:history="1">
        <w:r w:rsidRPr="00A06080">
          <w:rPr>
            <w:rStyle w:val="a4"/>
            <w:color w:val="auto"/>
            <w:sz w:val="22"/>
            <w:szCs w:val="22"/>
            <w:u w:val="none"/>
          </w:rPr>
          <w:t>наказ</w:t>
        </w:r>
      </w:hyperlink>
      <w:r w:rsidRPr="00A06080">
        <w:rPr>
          <w:sz w:val="22"/>
          <w:szCs w:val="22"/>
        </w:rPr>
        <w:t xml:space="preserve"> про формування в Київській та Подільській губерніях чотирьох кінних козачих полків «з людей до козачої служби придатних і здавна навиками і бажаннями до неї відомих». Кожний полк мав складатися з 1200 </w:t>
      </w:r>
      <w:hyperlink r:id="rId23" w:tooltip="Козак" w:history="1">
        <w:r w:rsidRPr="00A06080">
          <w:rPr>
            <w:rStyle w:val="a4"/>
            <w:color w:val="auto"/>
            <w:sz w:val="22"/>
            <w:szCs w:val="22"/>
            <w:u w:val="none"/>
          </w:rPr>
          <w:t>козаків</w:t>
        </w:r>
      </w:hyperlink>
      <w:r w:rsidRPr="00A06080">
        <w:rPr>
          <w:sz w:val="22"/>
          <w:szCs w:val="22"/>
        </w:rPr>
        <w:t>, 8 офіцерів, 88 унтер-офіцерів і 17 сурмачів. Селяни і козаки Поділля поставляли рекрутів і ополченців, забезпечували армію продовольством, фуражем, транспортом, жертвували гроші, майно. Для потреб російської армії з України було передано понад 6 тис. возів, 7,5 тис. коней, 15 тис. волів, протягом 1812-14 рр. населенням зібрано 3-5 пудів золота і 13,5 пудів срібла.</w:t>
      </w:r>
    </w:p>
    <w:p w:rsidR="00A06080" w:rsidRPr="00A06080" w:rsidRDefault="00A06080" w:rsidP="00A06080">
      <w:pPr>
        <w:pStyle w:val="a3"/>
        <w:spacing w:before="0" w:beforeAutospacing="0" w:after="0" w:afterAutospacing="0"/>
        <w:rPr>
          <w:sz w:val="22"/>
          <w:szCs w:val="22"/>
        </w:rPr>
      </w:pPr>
      <w:r w:rsidRPr="00A06080">
        <w:rPr>
          <w:sz w:val="22"/>
          <w:szCs w:val="22"/>
        </w:rPr>
        <w:t xml:space="preserve">Протягом 40 днів в </w:t>
      </w:r>
      <w:hyperlink r:id="rId24" w:tooltip="Кам'янець-Подільський" w:history="1">
        <w:r w:rsidRPr="00A06080">
          <w:rPr>
            <w:rStyle w:val="a4"/>
            <w:color w:val="auto"/>
            <w:sz w:val="22"/>
            <w:szCs w:val="22"/>
            <w:u w:val="none"/>
          </w:rPr>
          <w:t>Кам'янці-Подільському</w:t>
        </w:r>
      </w:hyperlink>
      <w:r w:rsidRPr="00A06080">
        <w:rPr>
          <w:sz w:val="22"/>
          <w:szCs w:val="22"/>
        </w:rPr>
        <w:t xml:space="preserve"> з рекрутів місцевого, а також </w:t>
      </w:r>
      <w:proofErr w:type="spellStart"/>
      <w:r w:rsidRPr="00A06080">
        <w:rPr>
          <w:sz w:val="22"/>
          <w:szCs w:val="22"/>
        </w:rPr>
        <w:t>Летичівського</w:t>
      </w:r>
      <w:proofErr w:type="spellEnd"/>
      <w:r w:rsidRPr="00A06080">
        <w:rPr>
          <w:sz w:val="22"/>
          <w:szCs w:val="22"/>
        </w:rPr>
        <w:t xml:space="preserve">, </w:t>
      </w:r>
      <w:proofErr w:type="spellStart"/>
      <w:r w:rsidRPr="00A06080">
        <w:rPr>
          <w:sz w:val="22"/>
          <w:szCs w:val="22"/>
        </w:rPr>
        <w:t>Новоушицького</w:t>
      </w:r>
      <w:proofErr w:type="spellEnd"/>
      <w:r w:rsidRPr="00A06080">
        <w:rPr>
          <w:sz w:val="22"/>
          <w:szCs w:val="22"/>
        </w:rPr>
        <w:t>, Проскурівського повітів був сформований 4-й Український козачий полк. Пообіцявши українським козакам повернути самоврядування, російський уряд закликав їх виступити проти Наполеона.</w:t>
      </w:r>
    </w:p>
    <w:p w:rsidR="00A06080" w:rsidRPr="00A06080" w:rsidRDefault="00A06080" w:rsidP="00A06080">
      <w:pPr>
        <w:pStyle w:val="a3"/>
        <w:spacing w:before="0" w:beforeAutospacing="0" w:after="0" w:afterAutospacing="0"/>
        <w:rPr>
          <w:sz w:val="22"/>
          <w:szCs w:val="22"/>
        </w:rPr>
      </w:pPr>
      <w:hyperlink r:id="rId25" w:tooltip="Олександр І" w:history="1">
        <w:r w:rsidRPr="00A06080">
          <w:rPr>
            <w:rStyle w:val="a4"/>
            <w:color w:val="auto"/>
            <w:sz w:val="22"/>
            <w:szCs w:val="22"/>
            <w:u w:val="none"/>
          </w:rPr>
          <w:t>Олександр І</w:t>
        </w:r>
      </w:hyperlink>
      <w:r w:rsidRPr="00A06080">
        <w:rPr>
          <w:sz w:val="22"/>
          <w:szCs w:val="22"/>
        </w:rPr>
        <w:t xml:space="preserve"> видав маніфест про створення земського ополчення, до якого кріпаки набиралися за згодою поміщиків, а вихідці з інших станів — добровільно, його створення стало справою всенародною. Крім того, цар обіцяв поновити козацький стан. Але ентузіазм, з яким селяни, сподіваючись на визволення з кріпацтва, вступали до ополчення, налякав царський уряд. Боячись озброєного народу більше, ніж французьких військ, правляча верхівка скоротила число губерній, що «ополчалися». В Кам'янці-Подільському, Київській і Волинській губерніях були створені загони «лісової варти».</w:t>
      </w:r>
    </w:p>
    <w:p w:rsidR="00A06080" w:rsidRPr="00A06080" w:rsidRDefault="00A06080" w:rsidP="00A06080">
      <w:pPr>
        <w:pStyle w:val="a3"/>
        <w:spacing w:before="0" w:beforeAutospacing="0" w:after="0" w:afterAutospacing="0"/>
        <w:rPr>
          <w:sz w:val="22"/>
          <w:szCs w:val="22"/>
        </w:rPr>
      </w:pPr>
      <w:r w:rsidRPr="00A06080">
        <w:rPr>
          <w:sz w:val="22"/>
          <w:szCs w:val="22"/>
        </w:rPr>
        <w:t xml:space="preserve">Готуючись до вирішальних боїв з ворогом, </w:t>
      </w:r>
      <w:hyperlink r:id="rId26" w:tooltip="Кутузов Михайло Ілларіонович" w:history="1">
        <w:r w:rsidRPr="00A06080">
          <w:rPr>
            <w:rStyle w:val="a4"/>
            <w:color w:val="auto"/>
            <w:sz w:val="22"/>
            <w:szCs w:val="22"/>
            <w:u w:val="none"/>
          </w:rPr>
          <w:t>Кутузов</w:t>
        </w:r>
      </w:hyperlink>
      <w:r w:rsidRPr="00A06080">
        <w:rPr>
          <w:sz w:val="22"/>
          <w:szCs w:val="22"/>
        </w:rPr>
        <w:t xml:space="preserve"> не ослабляв уваги до зміцнення оборони України. Генералу Тормасову він наказав «бути у Волині і Поділлі для охорони цього краю». Навіть тоді, коли той одержав наказ перейти до рішучих дій проти військ Наполеона на Волині, для прикриття </w:t>
      </w:r>
      <w:hyperlink r:id="rId27" w:tooltip="Поділля" w:history="1">
        <w:r w:rsidRPr="00A06080">
          <w:rPr>
            <w:rStyle w:val="a4"/>
            <w:color w:val="auto"/>
            <w:sz w:val="22"/>
            <w:szCs w:val="22"/>
            <w:u w:val="none"/>
          </w:rPr>
          <w:t>Поділля</w:t>
        </w:r>
      </w:hyperlink>
      <w:r w:rsidRPr="00A06080">
        <w:rPr>
          <w:sz w:val="22"/>
          <w:szCs w:val="22"/>
        </w:rPr>
        <w:t xml:space="preserve"> з півночі в районі </w:t>
      </w:r>
      <w:hyperlink r:id="rId28" w:tooltip="Ізяслав" w:history="1">
        <w:r w:rsidRPr="00A06080">
          <w:rPr>
            <w:rStyle w:val="a4"/>
            <w:color w:val="auto"/>
            <w:sz w:val="22"/>
            <w:szCs w:val="22"/>
            <w:u w:val="none"/>
          </w:rPr>
          <w:t>Ізяслава</w:t>
        </w:r>
      </w:hyperlink>
      <w:r w:rsidRPr="00A06080">
        <w:rPr>
          <w:sz w:val="22"/>
          <w:szCs w:val="22"/>
        </w:rPr>
        <w:t xml:space="preserve"> — </w:t>
      </w:r>
      <w:proofErr w:type="spellStart"/>
      <w:r w:rsidRPr="00A06080">
        <w:rPr>
          <w:sz w:val="22"/>
          <w:szCs w:val="22"/>
        </w:rPr>
        <w:t>Старокостянтинова</w:t>
      </w:r>
      <w:proofErr w:type="spellEnd"/>
      <w:r w:rsidRPr="00A06080">
        <w:rPr>
          <w:sz w:val="22"/>
          <w:szCs w:val="22"/>
        </w:rPr>
        <w:t xml:space="preserve"> було залишено 6 батальйонів піхоти та 12 ескадронів кавалерії. В свою чергу, з Поділля в 3-ю армію, крім козачого полку, численних рекрутів, влилося 505 чоловік «лісових козаків».</w:t>
      </w:r>
    </w:p>
    <w:p w:rsidR="00954129" w:rsidRPr="00A06080" w:rsidRDefault="00A06080" w:rsidP="00A06080">
      <w:pPr>
        <w:pStyle w:val="a3"/>
        <w:spacing w:before="0" w:beforeAutospacing="0" w:after="0" w:afterAutospacing="0"/>
        <w:rPr>
          <w:sz w:val="22"/>
          <w:szCs w:val="22"/>
        </w:rPr>
      </w:pPr>
      <w:r w:rsidRPr="00A06080">
        <w:rPr>
          <w:sz w:val="22"/>
          <w:szCs w:val="22"/>
        </w:rPr>
        <w:t xml:space="preserve">Всього українці сформували 15 кінних полків, які поповнювали і забезпечували своїм коштом два роки. Але після перемоги над французами росіяни не виконали своїх обіцянок і повернули козаків у підневільний стан, на відміну від сусідніх донських козаків, які мали певні свободи. А отаману </w:t>
      </w:r>
      <w:proofErr w:type="spellStart"/>
      <w:r w:rsidRPr="00A06080">
        <w:rPr>
          <w:sz w:val="22"/>
          <w:szCs w:val="22"/>
        </w:rPr>
        <w:t>Платову</w:t>
      </w:r>
      <w:proofErr w:type="spellEnd"/>
      <w:r w:rsidRPr="00A06080">
        <w:rPr>
          <w:sz w:val="22"/>
          <w:szCs w:val="22"/>
        </w:rPr>
        <w:t xml:space="preserve"> </w:t>
      </w:r>
      <w:proofErr w:type="spellStart"/>
      <w:r w:rsidRPr="00A06080">
        <w:rPr>
          <w:sz w:val="22"/>
          <w:szCs w:val="22"/>
        </w:rPr>
        <w:t>навідь</w:t>
      </w:r>
      <w:proofErr w:type="spellEnd"/>
      <w:r w:rsidRPr="00A06080">
        <w:rPr>
          <w:sz w:val="22"/>
          <w:szCs w:val="22"/>
        </w:rPr>
        <w:t xml:space="preserve"> було дозволено збудувати нову столицю війська Донського — станицю Новочеркаську.</w:t>
      </w:r>
    </w:p>
    <w:sectPr w:rsidR="00954129" w:rsidRPr="00A06080" w:rsidSect="003158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A06080"/>
    <w:rsid w:val="00164DB9"/>
    <w:rsid w:val="00315862"/>
    <w:rsid w:val="007906CE"/>
    <w:rsid w:val="00A06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6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A060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91%D0%BE%D1%80%D0%BE%D0%B4%D1%96%D0%BD%D1%81%D1%8C%D0%BA%D0%B0_%D0%B1%D0%B8%D1%82%D0%B2%D0%B0" TargetMode="External"/><Relationship Id="rId13" Type="http://schemas.openxmlformats.org/officeDocument/2006/relationships/hyperlink" Target="http://uk.wikipedia.org/wiki/%D0%A0%D0%BE%D1%81%D1%96%D0%B9%D1%81%D1%8C%D0%BA%D0%B0_%D1%96%D0%BC%D0%BF%D0%B5%D1%80%D1%96%D1%8F" TargetMode="External"/><Relationship Id="rId18" Type="http://schemas.openxmlformats.org/officeDocument/2006/relationships/hyperlink" Target="http://uk.wikipedia.org/wiki/%D0%9B%D1%8E%D0%B1%D0%BE%D0%BC%D0%BB%D1%8C" TargetMode="External"/><Relationship Id="rId26" Type="http://schemas.openxmlformats.org/officeDocument/2006/relationships/hyperlink" Target="http://uk.wikipedia.org/wiki/%D0%9A%D1%83%D1%82%D1%83%D0%B7%D0%BE%D0%B2_%D0%9C%D0%B8%D1%85%D0%B0%D0%B9%D0%BB%D0%BE_%D0%86%D0%BB%D0%BB%D0%B0%D1%80%D1%96%D0%BE%D0%BD%D0%BE%D0%B2%D0%B8%D1%8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uk.wikipedia.org/wiki/%D0%96%D0%B8%D1%82%D0%BE%D0%BC%D0%B8%D1%80" TargetMode="External"/><Relationship Id="rId7" Type="http://schemas.openxmlformats.org/officeDocument/2006/relationships/hyperlink" Target="http://uk.wikipedia.org/wiki/%D0%9F%D0%BE%D0%BB%D1%8C%D1%89%D0%B0" TargetMode="External"/><Relationship Id="rId12" Type="http://schemas.openxmlformats.org/officeDocument/2006/relationships/hyperlink" Target="http://uk.wikipedia.org/wiki/%D0%9D%D0%B0%D0%BF%D0%BE%D0%BB%D0%B5%D0%BE%D0%BD_I_%D0%91%D0%BE%D0%BD%D0%B0%D0%BF%D0%B0%D1%80%D1%82" TargetMode="External"/><Relationship Id="rId17" Type="http://schemas.openxmlformats.org/officeDocument/2006/relationships/hyperlink" Target="http://uk.wikipedia.org/wiki/%D0%92%D0%BE%D0%BB%D0%B8%D0%BD%D1%8C" TargetMode="External"/><Relationship Id="rId25" Type="http://schemas.openxmlformats.org/officeDocument/2006/relationships/hyperlink" Target="http://uk.wikipedia.org/wiki/%D0%9E%D0%BB%D0%B5%D0%BA%D1%81%D0%B0%D0%BD%D0%B4%D1%80_%D0%86" TargetMode="External"/><Relationship Id="rId2" Type="http://schemas.openxmlformats.org/officeDocument/2006/relationships/styles" Target="styles.xml"/><Relationship Id="rId16" Type="http://schemas.openxmlformats.org/officeDocument/2006/relationships/hyperlink" Target="http://uk.wikipedia.org/w/index.php?title=%D0%9E._%D0%9F._%D0%A2%D0%BE%D1%80%D0%BC%D0%B0%D1%81%D0%BE%D0%B2&amp;action=edit&amp;redlink=1" TargetMode="External"/><Relationship Id="rId20" Type="http://schemas.openxmlformats.org/officeDocument/2006/relationships/hyperlink" Target="http://uk.wikipedia.org/wiki/%D0%A1%D1%82%D0%B0%D1%80%D0%BE%D0%BA%D0%BE%D1%81%D1%82%D1%8F%D0%BD%D1%82%D0%B8%D0%BD%D1%96%D0%B2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uk.wikipedia.org/wiki/%D0%A4%D1%80%D0%B0%D0%BD%D1%86%D1%96%D1%8F" TargetMode="External"/><Relationship Id="rId11" Type="http://schemas.openxmlformats.org/officeDocument/2006/relationships/hyperlink" Target="http://uk.wikipedia.org/w/index.php?title=%D0%9E%D0%B3%D0%BE%D0%BB%D0%BE%D1%88%D0%B5%D0%BD%D0%BD%D1%8F_%D0%B2%D1%96%D0%B9%D0%BD%D0%B8&amp;action=edit&amp;redlink=1" TargetMode="External"/><Relationship Id="rId24" Type="http://schemas.openxmlformats.org/officeDocument/2006/relationships/hyperlink" Target="http://uk.wikipedia.org/wiki/%D0%9A%D0%B0%D0%BC%27%D1%8F%D0%BD%D0%B5%D1%86%D1%8C-%D0%9F%D0%BE%D0%B4%D1%96%D0%BB%D1%8C%D1%81%D1%8C%D0%BA%D0%B8%D0%B9" TargetMode="External"/><Relationship Id="rId5" Type="http://schemas.openxmlformats.org/officeDocument/2006/relationships/hyperlink" Target="http://uk.wikipedia.org/wiki/%D0%9D%D0%B0%D0%BF%D0%BE%D0%BB%D0%B5%D0%BE%D0%BD%D1%96%D0%B2%D1%81%D1%8C%D0%BA%D1%96_%D0%B2%D1%96%D0%B9%D0%BD%D0%B8" TargetMode="External"/><Relationship Id="rId15" Type="http://schemas.openxmlformats.org/officeDocument/2006/relationships/hyperlink" Target="http://uk.wikipedia.org/wiki/%D0%91%D0%B0%D0%B3%D1%80%D0%B0%D1%82%D1%96%D0%BE%D0%BD_%D0%9F%D0%B5%D1%82%D1%80%D0%BE_%D0%86%D0%B2%D0%B0%D0%BD%D0%BE%D0%B2%D0%B8%D1%87" TargetMode="External"/><Relationship Id="rId23" Type="http://schemas.openxmlformats.org/officeDocument/2006/relationships/hyperlink" Target="http://uk.wikipedia.org/wiki/%D0%9A%D0%BE%D0%B7%D0%B0%D0%BA" TargetMode="External"/><Relationship Id="rId28" Type="http://schemas.openxmlformats.org/officeDocument/2006/relationships/hyperlink" Target="http://uk.wikipedia.org/wiki/%D0%86%D0%B7%D1%8F%D1%81%D0%BB%D0%B0%D0%B2" TargetMode="External"/><Relationship Id="rId10" Type="http://schemas.openxmlformats.org/officeDocument/2006/relationships/hyperlink" Target="http://uk.wikipedia.org/wiki/%D0%9C%D0%BE%D1%81%D0%BA%D0%B2%D0%B0" TargetMode="External"/><Relationship Id="rId19" Type="http://schemas.openxmlformats.org/officeDocument/2006/relationships/hyperlink" Target="http://uk.wikipedia.org/wiki/%D0%86%D0%B7%D1%8F%D1%81%D0%BB%D0%B0%D0%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26_%D1%81%D0%B5%D1%80%D0%BF%D0%BD%D1%8F" TargetMode="External"/><Relationship Id="rId14" Type="http://schemas.openxmlformats.org/officeDocument/2006/relationships/hyperlink" Target="http://uk.wikipedia.org/wiki/%D0%91%D0%B0%D1%80%D0%BA%D0%BB%D0%B0%D0%B9-%D0%B4%D0%B5-%D0%A2%D0%BE%D0%BB%D0%BB%D1%96_%D0%9C%D0%B8%D1%85%D0%B0%D0%B9%D0%BB%D0%BE_%D0%91%D0%BE%D0%B3%D0%B4%D0%B0%D0%BD%D0%BE%D0%B2%D0%B8%D1%87" TargetMode="External"/><Relationship Id="rId22" Type="http://schemas.openxmlformats.org/officeDocument/2006/relationships/hyperlink" Target="http://uk.wikipedia.org/wiki/%D0%9D%D0%B0%D0%BA%D0%B0%D0%B7" TargetMode="External"/><Relationship Id="rId27" Type="http://schemas.openxmlformats.org/officeDocument/2006/relationships/hyperlink" Target="http://uk.wikipedia.org/wiki/%D0%9F%D0%BE%D0%B4%D1%96%D0%BB%D0%BB%D1%8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EE40E-9273-45A4-A114-EAF89CB13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4695</Words>
  <Characters>2677</Characters>
  <Application>Microsoft Office Word</Application>
  <DocSecurity>0</DocSecurity>
  <Lines>22</Lines>
  <Paragraphs>14</Paragraphs>
  <ScaleCrop>false</ScaleCrop>
  <Company>Grizli777</Company>
  <LinksUpToDate>false</LinksUpToDate>
  <CharactersWithSpaces>7358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2011-01-26T17:20:00Z</dcterms:created>
  <dcterms:modified xsi:type="dcterms:W3CDTF">2011-01-26T17:22:00Z</dcterms:modified>
</cp:coreProperties>
</file>