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69E" w:rsidRPr="0017506A" w:rsidRDefault="009B569E" w:rsidP="009B569E">
      <w:pPr>
        <w:pStyle w:val="a3"/>
        <w:spacing w:after="0" w:line="240" w:lineRule="auto"/>
        <w:ind w:left="284" w:hanging="284"/>
        <w:rPr>
          <w:rFonts w:ascii="Arial" w:hAnsi="Arial" w:cs="Arial"/>
          <w:sz w:val="20"/>
          <w:szCs w:val="16"/>
        </w:rPr>
      </w:pPr>
      <w:bookmarkStart w:id="0" w:name="_GoBack"/>
      <w:bookmarkEnd w:id="0"/>
      <w:r w:rsidRPr="003B181A">
        <w:rPr>
          <w:rFonts w:ascii="Arial" w:hAnsi="Arial" w:cs="Arial"/>
          <w:sz w:val="20"/>
          <w:szCs w:val="16"/>
        </w:rPr>
        <w:t>103. Які методи виготовлення дифракційних граток вам відомі</w:t>
      </w:r>
      <w:proofErr w:type="gramStart"/>
      <w:r w:rsidRPr="003B181A">
        <w:rPr>
          <w:rFonts w:ascii="Arial" w:hAnsi="Arial" w:cs="Arial"/>
          <w:sz w:val="20"/>
          <w:szCs w:val="16"/>
        </w:rPr>
        <w:t xml:space="preserve"> ?</w:t>
      </w:r>
      <w:proofErr w:type="gramEnd"/>
      <w:r w:rsidRPr="003B181A">
        <w:rPr>
          <w:rFonts w:ascii="Arial" w:hAnsi="Arial" w:cs="Arial"/>
          <w:sz w:val="20"/>
          <w:szCs w:val="16"/>
        </w:rPr>
        <w:t xml:space="preserve"> Які з них вам доступні</w:t>
      </w:r>
      <w:proofErr w:type="gramStart"/>
      <w:r w:rsidRPr="003B181A">
        <w:rPr>
          <w:rFonts w:ascii="Arial" w:hAnsi="Arial" w:cs="Arial"/>
          <w:sz w:val="20"/>
          <w:szCs w:val="16"/>
        </w:rPr>
        <w:t xml:space="preserve"> ?</w:t>
      </w:r>
      <w:proofErr w:type="gramEnd"/>
    </w:p>
    <w:p w:rsidR="009B569E" w:rsidRPr="009B569E" w:rsidRDefault="009B569E" w:rsidP="009B569E">
      <w:pPr>
        <w:pStyle w:val="a4"/>
        <w:shd w:val="clear" w:color="auto" w:fill="FFFFFF"/>
        <w:jc w:val="both"/>
        <w:rPr>
          <w:sz w:val="22"/>
          <w:szCs w:val="22"/>
        </w:rPr>
      </w:pPr>
      <w:r w:rsidRPr="009B569E">
        <w:rPr>
          <w:b/>
          <w:sz w:val="22"/>
          <w:szCs w:val="22"/>
        </w:rPr>
        <w:t>Один –</w:t>
      </w:r>
      <w:r w:rsidRPr="009B569E">
        <w:rPr>
          <w:sz w:val="22"/>
          <w:szCs w:val="22"/>
        </w:rPr>
        <w:t xml:space="preserve"> прорезать алмазным резаком канавки на </w:t>
      </w:r>
      <w:proofErr w:type="gramStart"/>
      <w:r w:rsidRPr="009B569E">
        <w:rPr>
          <w:sz w:val="22"/>
          <w:szCs w:val="22"/>
        </w:rPr>
        <w:t>оргстекле</w:t>
      </w:r>
      <w:proofErr w:type="gramEnd"/>
      <w:r w:rsidRPr="009B569E">
        <w:rPr>
          <w:sz w:val="22"/>
          <w:szCs w:val="22"/>
        </w:rPr>
        <w:t xml:space="preserve"> или </w:t>
      </w:r>
      <w:proofErr w:type="gramStart"/>
      <w:r w:rsidRPr="009B569E">
        <w:rPr>
          <w:sz w:val="22"/>
          <w:szCs w:val="22"/>
        </w:rPr>
        <w:t>каком</w:t>
      </w:r>
      <w:proofErr w:type="gramEnd"/>
      <w:r w:rsidRPr="009B569E">
        <w:rPr>
          <w:sz w:val="22"/>
          <w:szCs w:val="22"/>
        </w:rPr>
        <w:t xml:space="preserve"> другом материале. Они должны быть </w:t>
      </w:r>
      <w:proofErr w:type="gramStart"/>
      <w:r w:rsidRPr="009B569E">
        <w:rPr>
          <w:sz w:val="22"/>
          <w:szCs w:val="22"/>
        </w:rPr>
        <w:t>абсолютно параллельными</w:t>
      </w:r>
      <w:proofErr w:type="gramEnd"/>
      <w:r w:rsidRPr="009B569E">
        <w:rPr>
          <w:sz w:val="22"/>
          <w:szCs w:val="22"/>
        </w:rPr>
        <w:t xml:space="preserve"> и на точно одинаковом расстоянии! Это какой же надо резак</w:t>
      </w:r>
      <w:proofErr w:type="gramStart"/>
      <w:r w:rsidRPr="009B569E">
        <w:rPr>
          <w:sz w:val="22"/>
          <w:szCs w:val="22"/>
        </w:rPr>
        <w:t xml:space="preserve">!... </w:t>
      </w:r>
      <w:proofErr w:type="gramEnd"/>
      <w:r w:rsidRPr="009B569E">
        <w:rPr>
          <w:sz w:val="22"/>
          <w:szCs w:val="22"/>
        </w:rPr>
        <w:t>Потому на практике используют голограммный метод. На нём и остановимся подробнее.</w:t>
      </w:r>
    </w:p>
    <w:p w:rsidR="009B569E" w:rsidRPr="009B569E" w:rsidRDefault="009B569E" w:rsidP="009B569E">
      <w:pPr>
        <w:pStyle w:val="a4"/>
        <w:shd w:val="clear" w:color="auto" w:fill="FFFFFF"/>
        <w:jc w:val="both"/>
        <w:rPr>
          <w:sz w:val="22"/>
          <w:szCs w:val="22"/>
        </w:rPr>
      </w:pPr>
      <w:r w:rsidRPr="009B569E">
        <w:rPr>
          <w:sz w:val="22"/>
          <w:szCs w:val="22"/>
        </w:rPr>
        <w:t xml:space="preserve">Для получения голограммных </w:t>
      </w:r>
      <w:r w:rsidRPr="009B569E">
        <w:rPr>
          <w:bCs/>
          <w:color w:val="000000"/>
          <w:sz w:val="22"/>
          <w:szCs w:val="22"/>
          <w:shd w:val="clear" w:color="auto" w:fill="FFFFFF"/>
        </w:rPr>
        <w:t>дифракционных</w:t>
      </w:r>
      <w:r w:rsidRPr="009B569E">
        <w:rPr>
          <w:bCs/>
          <w:color w:val="000000"/>
          <w:sz w:val="22"/>
          <w:szCs w:val="22"/>
          <w:shd w:val="clear" w:color="auto" w:fill="FFFFFF"/>
          <w:lang w:val="uk-UA"/>
        </w:rPr>
        <w:t xml:space="preserve"> </w:t>
      </w:r>
      <w:r w:rsidRPr="009B569E">
        <w:rPr>
          <w:bCs/>
          <w:color w:val="000000"/>
          <w:sz w:val="22"/>
          <w:szCs w:val="22"/>
          <w:shd w:val="clear" w:color="auto" w:fill="FFFFFF"/>
        </w:rPr>
        <w:t>решеток</w:t>
      </w:r>
      <w:r w:rsidRPr="009B569E">
        <w:rPr>
          <w:sz w:val="22"/>
          <w:szCs w:val="22"/>
        </w:rPr>
        <w:t xml:space="preserve"> требуются материалы, способные после регистрации интерференционной структуры и последующей обработки материала создавать рельефное изображение зарегистрированной структуры. В наибольшей степени этому требованию удовлетворяли органические фоторезисты, которые использовались в фотолитографии и микроэлектронной промышленности. Были опробованы различные типы </w:t>
      </w:r>
      <w:proofErr w:type="gramStart"/>
      <w:r w:rsidRPr="009B569E">
        <w:rPr>
          <w:sz w:val="22"/>
          <w:szCs w:val="22"/>
        </w:rPr>
        <w:t>органических</w:t>
      </w:r>
      <w:proofErr w:type="gramEnd"/>
      <w:r w:rsidRPr="009B569E">
        <w:rPr>
          <w:sz w:val="22"/>
          <w:szCs w:val="22"/>
        </w:rPr>
        <w:t xml:space="preserve"> фоторезистов. Однако эти фоторезисты характеризовлись очень низкой светочувствительностью в видимой области спектра</w:t>
      </w:r>
      <w:proofErr w:type="gramStart"/>
      <w:r w:rsidRPr="009B569E">
        <w:rPr>
          <w:sz w:val="22"/>
          <w:szCs w:val="22"/>
        </w:rPr>
        <w:t>.</w:t>
      </w:r>
      <w:proofErr w:type="gramEnd"/>
      <w:r w:rsidRPr="009B569E">
        <w:rPr>
          <w:sz w:val="22"/>
          <w:szCs w:val="22"/>
        </w:rPr>
        <w:t xml:space="preserve"> </w:t>
      </w:r>
      <w:proofErr w:type="gramStart"/>
      <w:r w:rsidRPr="009B569E">
        <w:rPr>
          <w:sz w:val="22"/>
          <w:szCs w:val="22"/>
        </w:rPr>
        <w:t>ф</w:t>
      </w:r>
      <w:proofErr w:type="gramEnd"/>
      <w:r w:rsidRPr="009B569E">
        <w:rPr>
          <w:sz w:val="22"/>
          <w:szCs w:val="22"/>
        </w:rPr>
        <w:t xml:space="preserve">оторезист чувствителный к излучению лазера в синей области спектра. </w:t>
      </w:r>
      <w:proofErr w:type="gramStart"/>
      <w:r w:rsidRPr="009B569E">
        <w:rPr>
          <w:sz w:val="22"/>
          <w:szCs w:val="22"/>
        </w:rPr>
        <w:t xml:space="preserve">На этом фоторезисте были изготовлены первые промышленные образцы голограммных </w:t>
      </w:r>
      <w:r w:rsidRPr="009B569E">
        <w:rPr>
          <w:bCs/>
          <w:color w:val="000000"/>
          <w:sz w:val="22"/>
          <w:szCs w:val="22"/>
          <w:shd w:val="clear" w:color="auto" w:fill="FFFFFF"/>
        </w:rPr>
        <w:t>дифракционныхрешеток</w:t>
      </w:r>
      <w:r w:rsidRPr="009B569E">
        <w:rPr>
          <w:sz w:val="22"/>
          <w:szCs w:val="22"/>
        </w:rPr>
        <w:t>, которые нашли применение в различных спектральных приборах.</w:t>
      </w:r>
      <w:proofErr w:type="gramEnd"/>
    </w:p>
    <w:p w:rsidR="009B569E" w:rsidRPr="009B569E" w:rsidRDefault="009B569E" w:rsidP="009B569E">
      <w:pPr>
        <w:pStyle w:val="a4"/>
        <w:shd w:val="clear" w:color="auto" w:fill="FFFFFF"/>
        <w:jc w:val="both"/>
        <w:rPr>
          <w:sz w:val="22"/>
          <w:szCs w:val="22"/>
        </w:rPr>
      </w:pPr>
      <w:r w:rsidRPr="009B569E">
        <w:rPr>
          <w:sz w:val="22"/>
          <w:szCs w:val="22"/>
        </w:rPr>
        <w:t xml:space="preserve">Дальнейшее развитие техпроцесса </w:t>
      </w:r>
      <w:r w:rsidRPr="009B569E">
        <w:rPr>
          <w:bCs/>
          <w:color w:val="000000"/>
          <w:sz w:val="22"/>
          <w:szCs w:val="22"/>
          <w:shd w:val="clear" w:color="auto" w:fill="FFFFFF"/>
        </w:rPr>
        <w:t>изготовлениядифракционных</w:t>
      </w:r>
      <w:r w:rsidRPr="009B569E">
        <w:rPr>
          <w:bCs/>
          <w:color w:val="000000"/>
          <w:sz w:val="22"/>
          <w:szCs w:val="22"/>
          <w:shd w:val="clear" w:color="auto" w:fill="FFFFFF"/>
          <w:lang w:val="uk-UA"/>
        </w:rPr>
        <w:t xml:space="preserve"> </w:t>
      </w:r>
      <w:r w:rsidRPr="009B569E">
        <w:rPr>
          <w:bCs/>
          <w:color w:val="000000"/>
          <w:sz w:val="22"/>
          <w:szCs w:val="22"/>
          <w:shd w:val="clear" w:color="auto" w:fill="FFFFFF"/>
        </w:rPr>
        <w:t>решеток</w:t>
      </w:r>
      <w:r w:rsidRPr="009B569E">
        <w:rPr>
          <w:bCs/>
          <w:color w:val="000000"/>
          <w:sz w:val="22"/>
          <w:szCs w:val="22"/>
          <w:shd w:val="clear" w:color="auto" w:fill="FFFFFF"/>
          <w:lang w:val="uk-UA"/>
        </w:rPr>
        <w:t xml:space="preserve"> </w:t>
      </w:r>
      <w:r w:rsidRPr="009B569E">
        <w:rPr>
          <w:sz w:val="22"/>
          <w:szCs w:val="22"/>
        </w:rPr>
        <w:t xml:space="preserve">голографическим способом стало возможным при использовании в качестве светочувствительного материала неорганического фоторезиста на основе халькогенидных стекол. Их основное преимущество при сравнении с </w:t>
      </w:r>
      <w:proofErr w:type="gramStart"/>
      <w:r w:rsidRPr="009B569E">
        <w:rPr>
          <w:sz w:val="22"/>
          <w:szCs w:val="22"/>
        </w:rPr>
        <w:t>органическим</w:t>
      </w:r>
      <w:proofErr w:type="gramEnd"/>
      <w:r w:rsidRPr="009B569E">
        <w:rPr>
          <w:sz w:val="22"/>
          <w:szCs w:val="22"/>
        </w:rPr>
        <w:t xml:space="preserve"> фоторезистом в том, что светочувствительные пленки неорганического фоторезиста наносятся на подложки </w:t>
      </w:r>
      <w:r w:rsidRPr="009B569E">
        <w:rPr>
          <w:bCs/>
          <w:color w:val="000000"/>
          <w:sz w:val="22"/>
          <w:szCs w:val="22"/>
          <w:shd w:val="clear" w:color="auto" w:fill="FFFFFF"/>
        </w:rPr>
        <w:t>решеток</w:t>
      </w:r>
      <w:r w:rsidRPr="009B569E">
        <w:rPr>
          <w:sz w:val="22"/>
          <w:szCs w:val="22"/>
        </w:rPr>
        <w:t>методом термического испарения стекла в вакууме. Этот метод существенно упрощает процесс получения качественных пленок с минимальным количеством дефектов и позволяет получать светочувствительные слои на подложках с любой формой и кривизной поверхности</w:t>
      </w:r>
      <w:proofErr w:type="gramStart"/>
      <w:r w:rsidRPr="009B569E">
        <w:rPr>
          <w:sz w:val="22"/>
          <w:szCs w:val="22"/>
          <w:lang w:val="uk-UA"/>
        </w:rPr>
        <w:t>.</w:t>
      </w:r>
      <w:r w:rsidRPr="009B569E">
        <w:rPr>
          <w:sz w:val="22"/>
          <w:szCs w:val="22"/>
        </w:rPr>
        <w:t>О</w:t>
      </w:r>
      <w:proofErr w:type="gramEnd"/>
      <w:r w:rsidRPr="009B569E">
        <w:rPr>
          <w:sz w:val="22"/>
          <w:szCs w:val="22"/>
        </w:rPr>
        <w:t xml:space="preserve">сновные типы голограммных </w:t>
      </w:r>
      <w:r w:rsidRPr="009B569E">
        <w:rPr>
          <w:bCs/>
          <w:color w:val="000000"/>
          <w:sz w:val="22"/>
          <w:szCs w:val="22"/>
          <w:shd w:val="clear" w:color="auto" w:fill="FFFFFF"/>
        </w:rPr>
        <w:t>дифракционныхрешеток</w:t>
      </w:r>
      <w:r w:rsidRPr="009B569E">
        <w:rPr>
          <w:sz w:val="22"/>
          <w:szCs w:val="22"/>
        </w:rPr>
        <w:t>, которые производятся в настоящее время на предприятии:</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плоские, вогнутые и выпуклые отражательные решётки с постоянным шагом штрихов;</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вогнутые решётки с коррекцией аберраций;</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решётки для лазеров, в том числе для компрессии лазерных импульсов;</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меры малой длины для метрологических измерений;</w:t>
      </w:r>
    </w:p>
    <w:p w:rsidR="009B569E" w:rsidRPr="009B569E" w:rsidRDefault="009B569E" w:rsidP="009B569E">
      <w:pPr>
        <w:pStyle w:val="a4"/>
        <w:shd w:val="clear" w:color="auto" w:fill="FFFFFF"/>
        <w:spacing w:before="0" w:beforeAutospacing="0" w:after="0" w:afterAutospacing="0"/>
        <w:jc w:val="both"/>
        <w:rPr>
          <w:sz w:val="22"/>
          <w:szCs w:val="22"/>
          <w:lang w:val="uk-UA"/>
        </w:rPr>
      </w:pPr>
      <w:r w:rsidRPr="009B569E">
        <w:rPr>
          <w:sz w:val="22"/>
          <w:szCs w:val="22"/>
        </w:rPr>
        <w:t>- дифракционные оптические элементы.</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xml:space="preserve">Ниже перечислены основные параметры изготовляемых </w:t>
      </w:r>
      <w:r w:rsidRPr="009B569E">
        <w:rPr>
          <w:bCs/>
          <w:color w:val="000000"/>
          <w:sz w:val="22"/>
          <w:szCs w:val="22"/>
          <w:shd w:val="clear" w:color="auto" w:fill="FFFFFF"/>
        </w:rPr>
        <w:t>решеток</w:t>
      </w:r>
      <w:r w:rsidRPr="009B569E">
        <w:rPr>
          <w:sz w:val="22"/>
          <w:szCs w:val="22"/>
        </w:rPr>
        <w:t>:</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размер заштрихованной поверхности до 380 х 220 мм²;</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частота штрихов от 100 л/мм до 3600 л/мм;</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относительное отверстие для вогнутых решёток с постоянным шагом штрихов до 1:1;</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относительное отверстие для вогнутых решёток с коррекцией аберраций до 1:2,5;</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спектральный диапазон от 1 нм до 7000 нм;</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разрешающая способность по отношению к теоретическому значению не менее 0,9;</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xml:space="preserve">- дифракционная эффективность </w:t>
      </w:r>
      <w:proofErr w:type="gramStart"/>
      <w:r w:rsidRPr="009B569E">
        <w:rPr>
          <w:sz w:val="22"/>
          <w:szCs w:val="22"/>
        </w:rPr>
        <w:t>эффективность</w:t>
      </w:r>
      <w:proofErr w:type="gramEnd"/>
      <w:r w:rsidRPr="009B569E">
        <w:rPr>
          <w:sz w:val="22"/>
          <w:szCs w:val="22"/>
        </w:rPr>
        <w:t xml:space="preserve"> на длине волны блеска для неполяризованного излучения более 70 %;</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дифракционная эффективность на длине волны блеска для поляризованного излучения более 90 %;</w:t>
      </w:r>
    </w:p>
    <w:p w:rsidR="009B569E" w:rsidRPr="009B569E" w:rsidRDefault="009B569E" w:rsidP="009B569E">
      <w:pPr>
        <w:pStyle w:val="a4"/>
        <w:shd w:val="clear" w:color="auto" w:fill="FFFFFF"/>
        <w:spacing w:before="0" w:beforeAutospacing="0" w:after="0" w:afterAutospacing="0"/>
        <w:jc w:val="both"/>
        <w:rPr>
          <w:sz w:val="22"/>
          <w:szCs w:val="22"/>
        </w:rPr>
      </w:pPr>
      <w:r w:rsidRPr="009B569E">
        <w:rPr>
          <w:sz w:val="22"/>
          <w:szCs w:val="22"/>
        </w:rPr>
        <w:t>- относительная интенсивность рассеянного света на расстоянии 1 нм от спектральной линии менее 5 ×10 -7.</w:t>
      </w:r>
    </w:p>
    <w:p w:rsidR="009B569E" w:rsidRPr="009B569E" w:rsidRDefault="009B569E" w:rsidP="009B569E">
      <w:pPr>
        <w:pStyle w:val="a4"/>
        <w:shd w:val="clear" w:color="auto" w:fill="FFFFFF"/>
        <w:jc w:val="both"/>
        <w:rPr>
          <w:sz w:val="22"/>
          <w:szCs w:val="22"/>
        </w:rPr>
      </w:pPr>
      <w:r w:rsidRPr="009B569E">
        <w:rPr>
          <w:sz w:val="22"/>
          <w:szCs w:val="22"/>
        </w:rPr>
        <w:t xml:space="preserve">В последнее время широкое распространение получили голограммные дифракционные решетки </w:t>
      </w:r>
      <w:proofErr w:type="gramStart"/>
      <w:r w:rsidRPr="009B569E">
        <w:rPr>
          <w:sz w:val="22"/>
          <w:szCs w:val="22"/>
        </w:rPr>
        <w:t>для</w:t>
      </w:r>
      <w:proofErr w:type="gramEnd"/>
      <w:r w:rsidRPr="009B569E">
        <w:rPr>
          <w:sz w:val="22"/>
          <w:szCs w:val="22"/>
        </w:rPr>
        <w:t xml:space="preserve"> систем формирования и компрессии лазерных импульсов в ИК диапазоне спектра. К этим решеткам предъявляются повышенные </w:t>
      </w:r>
      <w:proofErr w:type="gramStart"/>
      <w:r w:rsidRPr="009B569E">
        <w:rPr>
          <w:sz w:val="22"/>
          <w:szCs w:val="22"/>
        </w:rPr>
        <w:t>требования</w:t>
      </w:r>
      <w:proofErr w:type="gramEnd"/>
      <w:r w:rsidRPr="009B569E">
        <w:rPr>
          <w:sz w:val="22"/>
          <w:szCs w:val="22"/>
        </w:rPr>
        <w:t xml:space="preserve"> как к дифракционной эффективности так и к лучевой стойкости. Высокий коэффициент отражения и лучевая стойкость решетки обеспечивается при использовании отражающего покрытия из золота. Наиболее высокие значения достигаются при использовании метода нанесении золотого покрытия с более плотной упаковкой атомов металла. Этот метод успешно использовался для получения </w:t>
      </w:r>
      <w:r w:rsidRPr="009B569E">
        <w:rPr>
          <w:bCs/>
          <w:color w:val="000000"/>
          <w:sz w:val="22"/>
          <w:szCs w:val="22"/>
          <w:shd w:val="clear" w:color="auto" w:fill="FFFFFF"/>
        </w:rPr>
        <w:t>дифракционных</w:t>
      </w:r>
      <w:r w:rsidRPr="009B569E">
        <w:rPr>
          <w:sz w:val="22"/>
          <w:szCs w:val="22"/>
        </w:rPr>
        <w:t>размером до 380 × 240 мм с эффективностью более 90% и стойких к импульсному излучению лазера с плотностью энергии не менее 1 дж/см² при длительности импульса 1 нс.</w:t>
      </w:r>
    </w:p>
    <w:p w:rsidR="009B569E" w:rsidRPr="009B569E" w:rsidRDefault="009B569E" w:rsidP="009B569E">
      <w:pPr>
        <w:pStyle w:val="a4"/>
        <w:shd w:val="clear" w:color="auto" w:fill="FFFFFF"/>
        <w:jc w:val="both"/>
        <w:rPr>
          <w:sz w:val="22"/>
          <w:szCs w:val="22"/>
        </w:rPr>
      </w:pPr>
      <w:r w:rsidRPr="009B569E">
        <w:rPr>
          <w:sz w:val="22"/>
          <w:szCs w:val="22"/>
        </w:rPr>
        <w:t xml:space="preserve">Дальнейшее увеличение лучевой стойкости </w:t>
      </w:r>
      <w:r w:rsidRPr="009B569E">
        <w:rPr>
          <w:bCs/>
          <w:color w:val="000000"/>
          <w:sz w:val="22"/>
          <w:szCs w:val="22"/>
          <w:shd w:val="clear" w:color="auto" w:fill="FFFFFF"/>
        </w:rPr>
        <w:t>решеток</w:t>
      </w:r>
      <w:r w:rsidRPr="009B569E">
        <w:rPr>
          <w:sz w:val="22"/>
          <w:szCs w:val="22"/>
        </w:rPr>
        <w:t xml:space="preserve"> представляется возможным при использовании многослойных диэлектрических покрытий, стойких к лазерному излучению по аналогии с диэлектрическими зеркалами. Исследования, которые </w:t>
      </w:r>
      <w:proofErr w:type="gramStart"/>
      <w:r w:rsidRPr="009B569E">
        <w:rPr>
          <w:sz w:val="22"/>
          <w:szCs w:val="22"/>
        </w:rPr>
        <w:t>были проведены в этом направлении показали</w:t>
      </w:r>
      <w:proofErr w:type="gramEnd"/>
      <w:r w:rsidRPr="009B569E">
        <w:rPr>
          <w:sz w:val="22"/>
          <w:szCs w:val="22"/>
        </w:rPr>
        <w:t xml:space="preserve"> перспективность данного выбора, и на изготовленных экспериментальных образцах многослойных диэлектрических </w:t>
      </w:r>
      <w:r w:rsidRPr="009B569E">
        <w:rPr>
          <w:bCs/>
          <w:color w:val="000000"/>
          <w:sz w:val="22"/>
          <w:szCs w:val="22"/>
          <w:shd w:val="clear" w:color="auto" w:fill="FFFFFF"/>
        </w:rPr>
        <w:t>решеток</w:t>
      </w:r>
      <w:r w:rsidRPr="009B569E">
        <w:rPr>
          <w:sz w:val="22"/>
          <w:szCs w:val="22"/>
        </w:rPr>
        <w:t xml:space="preserve"> достигнута лучевая стойкость не менее 5 дж/см².</w:t>
      </w:r>
    </w:p>
    <w:p w:rsidR="009B569E" w:rsidRPr="009B569E" w:rsidRDefault="009B569E" w:rsidP="009B569E">
      <w:pPr>
        <w:pStyle w:val="a5"/>
        <w:rPr>
          <w:sz w:val="22"/>
          <w:szCs w:val="22"/>
          <w:lang w:val="uk-UA"/>
        </w:rPr>
      </w:pPr>
      <w:bookmarkStart w:id="1" w:name="_Toc295773257"/>
      <w:r w:rsidRPr="009B569E">
        <w:rPr>
          <w:sz w:val="22"/>
          <w:szCs w:val="22"/>
        </w:rPr>
        <w:lastRenderedPageBreak/>
        <w:t>доступны</w:t>
      </w:r>
      <w:bookmarkEnd w:id="1"/>
      <w:r w:rsidRPr="009B569E">
        <w:rPr>
          <w:sz w:val="22"/>
          <w:szCs w:val="22"/>
          <w:lang w:val="uk-UA"/>
        </w:rPr>
        <w:t xml:space="preserve">е </w:t>
      </w:r>
      <w:r w:rsidRPr="009B569E">
        <w:rPr>
          <w:sz w:val="22"/>
          <w:szCs w:val="22"/>
        </w:rPr>
        <w:t>способы</w:t>
      </w:r>
      <w:r w:rsidRPr="009B569E">
        <w:rPr>
          <w:sz w:val="22"/>
          <w:szCs w:val="22"/>
          <w:lang w:val="uk-UA"/>
        </w:rPr>
        <w:t xml:space="preserve"> </w:t>
      </w:r>
      <w:r w:rsidRPr="009B569E">
        <w:rPr>
          <w:sz w:val="22"/>
          <w:szCs w:val="22"/>
        </w:rPr>
        <w:t>изготовления дифракционных решёток</w:t>
      </w:r>
    </w:p>
    <w:p w:rsidR="009B569E" w:rsidRPr="009B569E" w:rsidRDefault="009B569E" w:rsidP="009B569E">
      <w:pPr>
        <w:pStyle w:val="a4"/>
        <w:shd w:val="clear" w:color="auto" w:fill="FFFFFF"/>
        <w:rPr>
          <w:sz w:val="22"/>
          <w:szCs w:val="22"/>
        </w:rPr>
      </w:pPr>
      <w:r w:rsidRPr="009B569E">
        <w:rPr>
          <w:sz w:val="22"/>
          <w:szCs w:val="22"/>
        </w:rPr>
        <w:t xml:space="preserve"> Вот один способ – получение голограммы – но для этого надо сделать дифрешётку</w:t>
      </w:r>
      <w:proofErr w:type="gramStart"/>
      <w:r w:rsidRPr="009B569E">
        <w:rPr>
          <w:sz w:val="22"/>
          <w:szCs w:val="22"/>
        </w:rPr>
        <w:t>:</w:t>
      </w:r>
      <w:r w:rsidRPr="009B569E">
        <w:rPr>
          <w:color w:val="000000"/>
          <w:sz w:val="22"/>
          <w:szCs w:val="22"/>
        </w:rPr>
        <w:t>С</w:t>
      </w:r>
      <w:proofErr w:type="gramEnd"/>
      <w:r w:rsidRPr="009B569E">
        <w:rPr>
          <w:color w:val="000000"/>
          <w:sz w:val="22"/>
          <w:szCs w:val="22"/>
        </w:rPr>
        <w:t xml:space="preserve"> помощью компьютера рассчитывают распределение интенсивности. Это распределение фотографируется с экрана монитора компьютера на фотопленку, благодаря чему достигается уменьшение в необходимое число раз. Для восстановления голограмм и демонстрации дифракционных оптических элементов используется установка (смотри рисунок), состоящая из лазерной указки (длина волны 650нм), луч которой направляется в телескопирующую систему (в качестве такой может использоваться подзорная труба или бинокль). Телескопирующая система позволяет расширить параллельный пучок света до диаметра, достаточного для освещения всего фотографического кадра. На выходе телескопирующей системы ставится слайд дифракционного </w:t>
      </w:r>
      <w:proofErr w:type="gramStart"/>
      <w:r w:rsidRPr="009B569E">
        <w:rPr>
          <w:color w:val="000000"/>
          <w:sz w:val="22"/>
          <w:szCs w:val="22"/>
        </w:rPr>
        <w:t>оптического</w:t>
      </w:r>
      <w:r w:rsidRPr="009B569E">
        <w:rPr>
          <w:sz w:val="22"/>
          <w:szCs w:val="22"/>
        </w:rPr>
        <w:t>элемента</w:t>
      </w:r>
      <w:proofErr w:type="gramEnd"/>
      <w:r w:rsidRPr="009B569E">
        <w:rPr>
          <w:sz w:val="22"/>
          <w:szCs w:val="22"/>
        </w:rPr>
        <w:t xml:space="preserve"> а результат дифракции </w:t>
      </w:r>
      <w:r w:rsidRPr="009B569E">
        <w:rPr>
          <w:noProof/>
          <w:sz w:val="22"/>
          <w:szCs w:val="22"/>
        </w:rPr>
        <w:drawing>
          <wp:anchor distT="0" distB="0" distL="0" distR="0" simplePos="0" relativeHeight="251660288" behindDoc="0" locked="0" layoutInCell="1" allowOverlap="0">
            <wp:simplePos x="0" y="0"/>
            <wp:positionH relativeFrom="column">
              <wp:posOffset>451485</wp:posOffset>
            </wp:positionH>
            <wp:positionV relativeFrom="line">
              <wp:posOffset>247650</wp:posOffset>
            </wp:positionV>
            <wp:extent cx="3303905" cy="1321435"/>
            <wp:effectExtent l="0" t="0" r="0" b="0"/>
            <wp:wrapSquare wrapText="bothSides"/>
            <wp:docPr id="2" name="Рисунок 2" descr="Демонстрационная установ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монстрационная установка"/>
                    <pic:cNvPicPr>
                      <a:picLocks noChangeAspect="1" noChangeArrowheads="1"/>
                    </pic:cNvPicPr>
                  </pic:nvPicPr>
                  <pic:blipFill>
                    <a:blip r:embed="rId6"/>
                    <a:srcRect/>
                    <a:stretch>
                      <a:fillRect/>
                    </a:stretch>
                  </pic:blipFill>
                  <pic:spPr bwMode="auto">
                    <a:xfrm>
                      <a:off x="0" y="0"/>
                      <a:ext cx="3303905" cy="1321435"/>
                    </a:xfrm>
                    <a:prstGeom prst="rect">
                      <a:avLst/>
                    </a:prstGeom>
                    <a:noFill/>
                  </pic:spPr>
                </pic:pic>
              </a:graphicData>
            </a:graphic>
          </wp:anchor>
        </w:drawing>
      </w:r>
      <w:r w:rsidRPr="009B569E">
        <w:rPr>
          <w:sz w:val="22"/>
          <w:szCs w:val="22"/>
        </w:rPr>
        <w:t xml:space="preserve">наблюдается на экране. </w:t>
      </w:r>
    </w:p>
    <w:p w:rsidR="009B569E" w:rsidRPr="009B569E" w:rsidRDefault="009B569E" w:rsidP="009B569E">
      <w:pPr>
        <w:pStyle w:val="a4"/>
        <w:shd w:val="clear" w:color="auto" w:fill="FFFFFF"/>
        <w:rPr>
          <w:sz w:val="22"/>
          <w:szCs w:val="22"/>
        </w:rPr>
      </w:pPr>
    </w:p>
    <w:p w:rsidR="009B569E" w:rsidRPr="009B569E" w:rsidRDefault="009B569E" w:rsidP="009B569E">
      <w:pPr>
        <w:pStyle w:val="a4"/>
        <w:shd w:val="clear" w:color="auto" w:fill="FFFFFF"/>
        <w:rPr>
          <w:sz w:val="22"/>
          <w:szCs w:val="22"/>
          <w:lang w:val="uk-UA"/>
        </w:rPr>
      </w:pPr>
    </w:p>
    <w:p w:rsidR="009B569E" w:rsidRPr="009B569E" w:rsidRDefault="009B569E" w:rsidP="009B569E">
      <w:pPr>
        <w:pStyle w:val="a4"/>
        <w:shd w:val="clear" w:color="auto" w:fill="FFFFFF"/>
        <w:jc w:val="center"/>
        <w:rPr>
          <w:sz w:val="22"/>
          <w:szCs w:val="22"/>
        </w:rPr>
      </w:pPr>
      <w:r w:rsidRPr="009B569E">
        <w:rPr>
          <w:sz w:val="22"/>
          <w:szCs w:val="22"/>
        </w:rPr>
        <w:t xml:space="preserve">Другой способ – взять уже </w:t>
      </w:r>
      <w:proofErr w:type="gramStart"/>
      <w:r w:rsidRPr="009B569E">
        <w:rPr>
          <w:sz w:val="22"/>
          <w:szCs w:val="22"/>
        </w:rPr>
        <w:t>готовую</w:t>
      </w:r>
      <w:proofErr w:type="gramEnd"/>
      <w:r w:rsidRPr="009B569E">
        <w:rPr>
          <w:sz w:val="22"/>
          <w:szCs w:val="22"/>
        </w:rPr>
        <w:t xml:space="preserve"> дифрешётку – компакт диск! Можно сделать даже дифракционный спектроскоп на его основе: берём картонную коробку, в неё кладём кусок диска и делаем тонкую прорезь сверху – а сбоку – трубку чтоб смотреть на спектр и спектроскоп готов.</w:t>
      </w:r>
    </w:p>
    <w:p w:rsidR="009B569E" w:rsidRPr="0017506A" w:rsidRDefault="009B569E" w:rsidP="009B569E">
      <w:pPr>
        <w:pStyle w:val="a3"/>
        <w:spacing w:after="0" w:line="240" w:lineRule="auto"/>
        <w:ind w:left="284" w:hanging="284"/>
        <w:rPr>
          <w:rFonts w:ascii="Arial" w:hAnsi="Arial" w:cs="Arial"/>
        </w:rPr>
      </w:pPr>
      <w:r w:rsidRPr="009B569E">
        <w:rPr>
          <w:rFonts w:ascii="Arial" w:hAnsi="Arial" w:cs="Arial"/>
          <w:lang w:val="uk-UA"/>
        </w:rPr>
        <w:t>99</w:t>
      </w:r>
      <w:r w:rsidRPr="009B569E">
        <w:rPr>
          <w:rFonts w:ascii="Arial" w:hAnsi="Arial" w:cs="Arial"/>
        </w:rPr>
        <w:t>Як виміряти групову та визначити фазову швидкості розповсюдження світла у середовищі ?</w:t>
      </w:r>
    </w:p>
    <w:p w:rsidR="00F40A28" w:rsidRDefault="009B569E">
      <w:r w:rsidRPr="009B569E">
        <w:t xml:space="preserve">Мал. 1. Визначення швидкості світла методом «зубчастого колеса» (методом Фізо). S — джерело світла; W — зубчасте колесо, що обертається, із змінною швидкістю обертання і точно відомою шириною зубців і проміжків а між ними; N — напівпрозоре дзеркало; М-код — дзеркало, що відображає; MN — точно виміряна відстань (база); Е — окуляр. Спостерігач реєструє в Е світло найбільшої яскравості, коли час проходження світлом відстані NM і назад дорівнює часу повороту W на ціле число зубців (1, 2, 3 і т. д.). Пучок променів світла при цьому проходіт строго посередині між зубцями як на ділянці NM, так і при зворотному ході MN. </w:t>
      </w:r>
      <w:r>
        <w:rPr>
          <w:noProof/>
        </w:rPr>
        <w:drawing>
          <wp:inline distT="0" distB="0" distL="0" distR="0">
            <wp:extent cx="4762500" cy="2476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762500" cy="2476500"/>
                    </a:xfrm>
                    <a:prstGeom prst="rect">
                      <a:avLst/>
                    </a:prstGeom>
                    <a:noFill/>
                    <a:ln w="9525">
                      <a:noFill/>
                      <a:miter lim="800000"/>
                      <a:headEnd/>
                      <a:tailEnd/>
                    </a:ln>
                  </pic:spPr>
                </pic:pic>
              </a:graphicData>
            </a:graphic>
          </wp:inline>
        </w:drawing>
      </w:r>
    </w:p>
    <w:p w:rsidR="009B569E" w:rsidRDefault="009B569E">
      <w:r>
        <w:t>Це буде групова швидкість</w:t>
      </w:r>
    </w:p>
    <w:p w:rsidR="009B569E" w:rsidRDefault="009B569E">
      <w:r>
        <w:t xml:space="preserve">А з </w:t>
      </w:r>
    </w:p>
    <w:p w:rsidR="009B569E" w:rsidRPr="009B569E" w:rsidRDefault="009B569E">
      <w:r>
        <w:rPr>
          <w:lang w:val="en-US"/>
        </w:rPr>
        <w:t>V</w:t>
      </w:r>
      <w:r>
        <w:t>ф*</w:t>
      </w:r>
      <w:r>
        <w:rPr>
          <w:lang w:val="en-US"/>
        </w:rPr>
        <w:t>V</w:t>
      </w:r>
      <w:r>
        <w:t>г=с</w:t>
      </w:r>
      <w:r w:rsidRPr="0017506A">
        <w:t xml:space="preserve">^2 </w:t>
      </w:r>
      <w:r>
        <w:t>знайдемо групову швидкість</w:t>
      </w:r>
    </w:p>
    <w:sectPr w:rsidR="009B569E" w:rsidRPr="009B569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69E"/>
    <w:rsid w:val="0017506A"/>
    <w:rsid w:val="009B569E"/>
    <w:rsid w:val="00F40A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569E"/>
    <w:pPr>
      <w:ind w:left="720"/>
      <w:contextualSpacing/>
    </w:pPr>
    <w:rPr>
      <w:rFonts w:ascii="Calibri" w:eastAsia="Calibri" w:hAnsi="Calibri" w:cs="Times New Roman"/>
      <w:lang w:eastAsia="en-US"/>
    </w:rPr>
  </w:style>
  <w:style w:type="paragraph" w:styleId="a4">
    <w:name w:val="Normal (Web)"/>
    <w:basedOn w:val="a"/>
    <w:unhideWhenUsed/>
    <w:rsid w:val="009B569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next w:val="a"/>
    <w:link w:val="a6"/>
    <w:uiPriority w:val="10"/>
    <w:qFormat/>
    <w:rsid w:val="009B56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6">
    <w:name w:val="Название Знак"/>
    <w:basedOn w:val="a0"/>
    <w:link w:val="a5"/>
    <w:uiPriority w:val="10"/>
    <w:rsid w:val="009B569E"/>
    <w:rPr>
      <w:rFonts w:asciiTheme="majorHAnsi" w:eastAsiaTheme="majorEastAsia" w:hAnsiTheme="majorHAnsi" w:cstheme="majorBidi"/>
      <w:color w:val="17365D" w:themeColor="text2" w:themeShade="BF"/>
      <w:spacing w:val="5"/>
      <w:kern w:val="28"/>
      <w:sz w:val="52"/>
      <w:szCs w:val="52"/>
      <w:lang w:val="ru-RU" w:eastAsia="en-US"/>
    </w:rPr>
  </w:style>
  <w:style w:type="paragraph" w:styleId="a7">
    <w:name w:val="Balloon Text"/>
    <w:basedOn w:val="a"/>
    <w:link w:val="a8"/>
    <w:uiPriority w:val="99"/>
    <w:semiHidden/>
    <w:unhideWhenUsed/>
    <w:rsid w:val="009B56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B56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569E"/>
    <w:pPr>
      <w:ind w:left="720"/>
      <w:contextualSpacing/>
    </w:pPr>
    <w:rPr>
      <w:rFonts w:ascii="Calibri" w:eastAsia="Calibri" w:hAnsi="Calibri" w:cs="Times New Roman"/>
      <w:lang w:eastAsia="en-US"/>
    </w:rPr>
  </w:style>
  <w:style w:type="paragraph" w:styleId="a4">
    <w:name w:val="Normal (Web)"/>
    <w:basedOn w:val="a"/>
    <w:unhideWhenUsed/>
    <w:rsid w:val="009B569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next w:val="a"/>
    <w:link w:val="a6"/>
    <w:uiPriority w:val="10"/>
    <w:qFormat/>
    <w:rsid w:val="009B56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6">
    <w:name w:val="Название Знак"/>
    <w:basedOn w:val="a0"/>
    <w:link w:val="a5"/>
    <w:uiPriority w:val="10"/>
    <w:rsid w:val="009B569E"/>
    <w:rPr>
      <w:rFonts w:asciiTheme="majorHAnsi" w:eastAsiaTheme="majorEastAsia" w:hAnsiTheme="majorHAnsi" w:cstheme="majorBidi"/>
      <w:color w:val="17365D" w:themeColor="text2" w:themeShade="BF"/>
      <w:spacing w:val="5"/>
      <w:kern w:val="28"/>
      <w:sz w:val="52"/>
      <w:szCs w:val="52"/>
      <w:lang w:val="ru-RU" w:eastAsia="en-US"/>
    </w:rPr>
  </w:style>
  <w:style w:type="paragraph" w:styleId="a7">
    <w:name w:val="Balloon Text"/>
    <w:basedOn w:val="a"/>
    <w:link w:val="a8"/>
    <w:uiPriority w:val="99"/>
    <w:semiHidden/>
    <w:unhideWhenUsed/>
    <w:rsid w:val="009B56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B56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2CD2A-CD9D-4AF1-A9A6-BB5959ED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899</Words>
  <Characters>5130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Марко</dc:creator>
  <cp:lastModifiedBy>DNA7 X86</cp:lastModifiedBy>
  <cp:revision>2</cp:revision>
  <dcterms:created xsi:type="dcterms:W3CDTF">2012-05-09T19:24:00Z</dcterms:created>
  <dcterms:modified xsi:type="dcterms:W3CDTF">2012-05-09T19:24:00Z</dcterms:modified>
</cp:coreProperties>
</file>