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285" w:rsidRDefault="000D2285" w:rsidP="000D2285">
      <w:pPr>
        <w:pStyle w:val="a3"/>
        <w:spacing w:after="159" w:line="259" w:lineRule="auto"/>
      </w:pPr>
      <w:r>
        <w:rPr>
          <w:lang w:val="ru-RU"/>
        </w:rPr>
        <w:t xml:space="preserve">У 330 </w:t>
      </w:r>
      <w:proofErr w:type="spellStart"/>
      <w:r>
        <w:rPr>
          <w:lang w:val="ru-RU"/>
        </w:rPr>
        <w:t>роц</w:t>
      </w:r>
      <w:proofErr w:type="spellEnd"/>
      <w:r>
        <w:t>і ім</w:t>
      </w:r>
      <w:r>
        <w:t xml:space="preserve">ператор </w:t>
      </w:r>
      <w:proofErr w:type="spellStart"/>
      <w:r>
        <w:t>Константин</w:t>
      </w:r>
      <w:proofErr w:type="spellEnd"/>
      <w:r>
        <w:t xml:space="preserve"> заснував нову</w:t>
      </w:r>
      <w:r>
        <w:t xml:space="preserve"> столицю Римської Імперії – Константинополь. Пройшло більш ніж 200 років перш ніж почав складатися у своїх основних рисах оригінальний візантійський стиль з ранньохристиянського та </w:t>
      </w:r>
      <w:proofErr w:type="spellStart"/>
      <w:r>
        <w:t>пізньоантичного</w:t>
      </w:r>
      <w:proofErr w:type="spellEnd"/>
      <w:r>
        <w:t xml:space="preserve"> мистецтва, носіями яких були дуже різні етнічні групи: греки, римляни, сирійці, семіти, копти, народи Месопотамії та Ірану. Особливе значення для мистецтва Візантії мала культура християнського Сходу, яке відрізнялося широким різноманіттям у перші 4 століття нашої ери. Християнство доволі швидко розповсюджувалось Сходом, через відносну терпимість Персії. Не відчуваючи ще тиску централізованої церкви християнські спільноти створювали власні мистецькі форми у місцевих народних традиціях. Саме народне мистецтво сильно вплинуло на розвиток Візантійського та ранньохристиянського мистецтва. Візантійське на східнохристиянське мистецтво існували паралельно, впливаючи один на одного.</w:t>
      </w:r>
    </w:p>
    <w:p w:rsidR="000D2285" w:rsidRDefault="000D2285" w:rsidP="000D2285">
      <w:pPr>
        <w:pStyle w:val="a3"/>
        <w:spacing w:after="159" w:line="259" w:lineRule="auto"/>
        <w:rPr>
          <w:lang w:val="ru-RU"/>
        </w:rPr>
      </w:pPr>
      <w:r>
        <w:t xml:space="preserve">Хоча Візантійське мистецтво щільно пов’язане з східнохристиянським мистецтвом, воно </w:t>
      </w:r>
      <w:proofErr w:type="spellStart"/>
      <w:r>
        <w:t>виникло</w:t>
      </w:r>
      <w:proofErr w:type="spellEnd"/>
      <w:r>
        <w:t xml:space="preserve"> абсолютно в іншому середовищу – середовищі великого міста, наближених до імператора, централізованої державної церкви. Загалом, візантійське мистецтво ніби поєднало у собі два початки – західне еллінське та східне. Ці два антагоністичні стилі злилися у неповторному мистецтві Візантії внаслідок довготривалого процесі. Зберігши в основі елліністичний антропоморфізм, Візантія заповнила його новим духовним змістом східного християнства. У Візантії мистецтво перестало бути предметом лише чуттєвого сприйняття, яким воно було в античність, а стало частинної релігійного впливу, маючи на меті відводити віруючого від реального в </w:t>
      </w:r>
      <w:proofErr w:type="spellStart"/>
      <w:r>
        <w:t>в</w:t>
      </w:r>
      <w:proofErr w:type="spellEnd"/>
      <w:r>
        <w:t xml:space="preserve"> світ надчуттєвого. Візантія намагалась встановити замість різноманіття місцевих народних </w:t>
      </w:r>
      <w:proofErr w:type="spellStart"/>
      <w:r>
        <w:t>стилей</w:t>
      </w:r>
      <w:proofErr w:type="spellEnd"/>
      <w:r>
        <w:t xml:space="preserve">, єдиний державний і церковний стиль. Шлях розвитку візантійського мистецтва визначив Константинополь. В такій централізованій державі, як Візантія, мистецтво розвивалось інакшим від Європи шляхом. У середньовічній Європі існувало стільки художніх шкіл, скільки у країні було міст. Феодальний Захід, який не відчував центрального тиску, як Візантія, жив різноманітним художнім життям. У Візантії ж будь-які опозиційні думки присікалися владою. Державний апарат слідкував, щоб </w:t>
      </w:r>
      <w:proofErr w:type="spellStart"/>
      <w:r>
        <w:t>посторонні</w:t>
      </w:r>
      <w:proofErr w:type="spellEnd"/>
      <w:r>
        <w:t xml:space="preserve"> думки, особливо «єретичні» віяння з Заходу, не потрапляли у Візантію. Усе життя підданих імператора підпорядковувалось чітким суворим правилам та нормам. Відповідно і діяльність художників та митців підпорядковувалась суворому регламенту. Будь-які нові віяння приймалися тільки, якщо вони були дозволені імператорським колом та церквою. Ім’я митця відступала на другий план перед іменем замовника. Знайти ім’я художника на пам’ятці річ доволі нечаста, порівняно з іменами замовників. Візантійський митець був на нижній </w:t>
      </w:r>
      <w:proofErr w:type="spellStart"/>
      <w:r>
        <w:t>щабелі</w:t>
      </w:r>
      <w:proofErr w:type="spellEnd"/>
      <w:r>
        <w:t xml:space="preserve"> соціальної ієрархії. Акт творчості носив суцільно безликий характер. З точки зору візантійця, акт творчості мав божественне коріння. Художня революція була неможливою у таких умовах, тому розвиток мистецтва відбувався повільно. Держава та церква вимагали від мистецтва бути уніфікованим та повчальним. Звідси, абсолютне врегулювання тематики, фіксованої до найменших деталей. Мистецтву Візантії ставилась задача давати доступний і точний виклад релігійних фактів.</w:t>
      </w:r>
      <w:r>
        <w:rPr>
          <w:rFonts w:ascii="Arial" w:hAnsi="Arial" w:cs="Arial"/>
          <w:color w:val="000000"/>
          <w:sz w:val="14"/>
          <w:szCs w:val="14"/>
        </w:rPr>
        <w:t xml:space="preserve"> </w:t>
      </w:r>
    </w:p>
    <w:p w:rsidR="000D2285" w:rsidRDefault="000D2285" w:rsidP="000D2285">
      <w:pPr>
        <w:pStyle w:val="a3"/>
        <w:spacing w:after="159" w:line="259" w:lineRule="auto"/>
      </w:pPr>
      <w:proofErr w:type="spellStart"/>
      <w:r>
        <w:rPr>
          <w:lang w:val="ru-RU"/>
        </w:rPr>
        <w:t>Звичайно</w:t>
      </w:r>
      <w:proofErr w:type="spellEnd"/>
      <w:r>
        <w:rPr>
          <w:lang w:val="ru-RU"/>
        </w:rPr>
        <w:t xml:space="preserve">, </w:t>
      </w:r>
      <w:proofErr w:type="spellStart"/>
      <w:r>
        <w:rPr>
          <w:lang w:val="ru-RU"/>
        </w:rPr>
        <w:t>окрім</w:t>
      </w:r>
      <w:proofErr w:type="spellEnd"/>
      <w:r>
        <w:rPr>
          <w:lang w:val="ru-RU"/>
        </w:rPr>
        <w:t xml:space="preserve"> </w:t>
      </w:r>
      <w:proofErr w:type="spellStart"/>
      <w:r>
        <w:rPr>
          <w:lang w:val="ru-RU"/>
        </w:rPr>
        <w:t>еллінізму</w:t>
      </w:r>
      <w:proofErr w:type="spellEnd"/>
      <w:r>
        <w:rPr>
          <w:lang w:val="ru-RU"/>
        </w:rPr>
        <w:t xml:space="preserve"> до Константинополя </w:t>
      </w:r>
      <w:proofErr w:type="spellStart"/>
      <w:r>
        <w:rPr>
          <w:lang w:val="ru-RU"/>
        </w:rPr>
        <w:t>потрапляли</w:t>
      </w:r>
      <w:proofErr w:type="spellEnd"/>
      <w:r>
        <w:rPr>
          <w:lang w:val="ru-RU"/>
        </w:rPr>
        <w:t xml:space="preserve"> і </w:t>
      </w:r>
      <w:proofErr w:type="spellStart"/>
      <w:r>
        <w:rPr>
          <w:lang w:val="ru-RU"/>
        </w:rPr>
        <w:t>хвилі</w:t>
      </w:r>
      <w:proofErr w:type="spellEnd"/>
      <w:r>
        <w:rPr>
          <w:lang w:val="ru-RU"/>
        </w:rPr>
        <w:t xml:space="preserve"> </w:t>
      </w:r>
      <w:proofErr w:type="spellStart"/>
      <w:r>
        <w:rPr>
          <w:lang w:val="ru-RU"/>
        </w:rPr>
        <w:t>східного</w:t>
      </w:r>
      <w:proofErr w:type="spellEnd"/>
      <w:r>
        <w:rPr>
          <w:lang w:val="ru-RU"/>
        </w:rPr>
        <w:t xml:space="preserve"> </w:t>
      </w:r>
      <w:proofErr w:type="spellStart"/>
      <w:r>
        <w:rPr>
          <w:lang w:val="ru-RU"/>
        </w:rPr>
        <w:t>впливу</w:t>
      </w:r>
      <w:proofErr w:type="spellEnd"/>
      <w:r>
        <w:rPr>
          <w:lang w:val="ru-RU"/>
        </w:rPr>
        <w:t xml:space="preserve">, </w:t>
      </w:r>
      <w:proofErr w:type="spellStart"/>
      <w:r>
        <w:rPr>
          <w:lang w:val="ru-RU"/>
        </w:rPr>
        <w:t>які</w:t>
      </w:r>
      <w:proofErr w:type="spellEnd"/>
      <w:r>
        <w:rPr>
          <w:lang w:val="ru-RU"/>
        </w:rPr>
        <w:t xml:space="preserve"> </w:t>
      </w:r>
      <w:proofErr w:type="spellStart"/>
      <w:r>
        <w:rPr>
          <w:lang w:val="ru-RU"/>
        </w:rPr>
        <w:t>йшли</w:t>
      </w:r>
      <w:proofErr w:type="spellEnd"/>
      <w:r>
        <w:rPr>
          <w:lang w:val="ru-RU"/>
        </w:rPr>
        <w:t xml:space="preserve"> ц </w:t>
      </w:r>
      <w:proofErr w:type="spellStart"/>
      <w:r>
        <w:rPr>
          <w:lang w:val="ru-RU"/>
        </w:rPr>
        <w:t>провінцій</w:t>
      </w:r>
      <w:proofErr w:type="spellEnd"/>
      <w:r>
        <w:rPr>
          <w:lang w:val="ru-RU"/>
        </w:rPr>
        <w:t xml:space="preserve"> та </w:t>
      </w:r>
      <w:proofErr w:type="spellStart"/>
      <w:r>
        <w:rPr>
          <w:lang w:val="ru-RU"/>
        </w:rPr>
        <w:t>наповнених</w:t>
      </w:r>
      <w:proofErr w:type="spellEnd"/>
      <w:r>
        <w:rPr>
          <w:lang w:val="ru-RU"/>
        </w:rPr>
        <w:t xml:space="preserve"> </w:t>
      </w:r>
      <w:proofErr w:type="spellStart"/>
      <w:r>
        <w:rPr>
          <w:lang w:val="ru-RU"/>
        </w:rPr>
        <w:t>кочівниками</w:t>
      </w:r>
      <w:proofErr w:type="spellEnd"/>
      <w:r>
        <w:rPr>
          <w:lang w:val="ru-RU"/>
        </w:rPr>
        <w:t xml:space="preserve"> </w:t>
      </w:r>
      <w:proofErr w:type="spellStart"/>
      <w:r>
        <w:rPr>
          <w:lang w:val="ru-RU"/>
        </w:rPr>
        <w:t>степних</w:t>
      </w:r>
      <w:proofErr w:type="spellEnd"/>
      <w:r>
        <w:rPr>
          <w:lang w:val="ru-RU"/>
        </w:rPr>
        <w:t xml:space="preserve"> областей. У 4 та 5 </w:t>
      </w:r>
      <w:proofErr w:type="spellStart"/>
      <w:r>
        <w:rPr>
          <w:lang w:val="ru-RU"/>
        </w:rPr>
        <w:t>сторіччі</w:t>
      </w:r>
      <w:proofErr w:type="spellEnd"/>
      <w:r>
        <w:rPr>
          <w:lang w:val="ru-RU"/>
        </w:rPr>
        <w:t xml:space="preserve"> Константинополь </w:t>
      </w:r>
      <w:proofErr w:type="spellStart"/>
      <w:r>
        <w:rPr>
          <w:lang w:val="ru-RU"/>
        </w:rPr>
        <w:t>потрапляє</w:t>
      </w:r>
      <w:proofErr w:type="spellEnd"/>
      <w:r>
        <w:rPr>
          <w:lang w:val="ru-RU"/>
        </w:rPr>
        <w:t xml:space="preserve"> </w:t>
      </w:r>
      <w:proofErr w:type="spellStart"/>
      <w:r>
        <w:rPr>
          <w:lang w:val="ru-RU"/>
        </w:rPr>
        <w:t>під</w:t>
      </w:r>
      <w:proofErr w:type="spellEnd"/>
      <w:r>
        <w:rPr>
          <w:lang w:val="ru-RU"/>
        </w:rPr>
        <w:t xml:space="preserve"> </w:t>
      </w:r>
      <w:proofErr w:type="spellStart"/>
      <w:r>
        <w:rPr>
          <w:lang w:val="ru-RU"/>
        </w:rPr>
        <w:t>єгипетські</w:t>
      </w:r>
      <w:proofErr w:type="spellEnd"/>
      <w:r>
        <w:rPr>
          <w:lang w:val="ru-RU"/>
        </w:rPr>
        <w:t xml:space="preserve">, </w:t>
      </w:r>
      <w:proofErr w:type="spellStart"/>
      <w:r>
        <w:rPr>
          <w:lang w:val="ru-RU"/>
        </w:rPr>
        <w:t>сирійські</w:t>
      </w:r>
      <w:proofErr w:type="spellEnd"/>
      <w:r>
        <w:rPr>
          <w:lang w:val="ru-RU"/>
        </w:rPr>
        <w:t xml:space="preserve"> та </w:t>
      </w:r>
      <w:proofErr w:type="spellStart"/>
      <w:r>
        <w:rPr>
          <w:lang w:val="ru-RU"/>
        </w:rPr>
        <w:t>малоазійські</w:t>
      </w:r>
      <w:proofErr w:type="spellEnd"/>
      <w:r>
        <w:rPr>
          <w:lang w:val="ru-RU"/>
        </w:rPr>
        <w:t xml:space="preserve"> </w:t>
      </w:r>
      <w:proofErr w:type="spellStart"/>
      <w:r>
        <w:rPr>
          <w:lang w:val="ru-RU"/>
        </w:rPr>
        <w:t>впливи</w:t>
      </w:r>
      <w:proofErr w:type="spellEnd"/>
      <w:r>
        <w:rPr>
          <w:lang w:val="ru-RU"/>
        </w:rPr>
        <w:t xml:space="preserve">, не </w:t>
      </w:r>
      <w:proofErr w:type="spellStart"/>
      <w:r>
        <w:rPr>
          <w:lang w:val="ru-RU"/>
        </w:rPr>
        <w:t>об'єднуючи</w:t>
      </w:r>
      <w:proofErr w:type="spellEnd"/>
      <w:r>
        <w:rPr>
          <w:lang w:val="ru-RU"/>
        </w:rPr>
        <w:t xml:space="preserve"> </w:t>
      </w:r>
      <w:proofErr w:type="spellStart"/>
      <w:r>
        <w:rPr>
          <w:lang w:val="ru-RU"/>
        </w:rPr>
        <w:t>їх</w:t>
      </w:r>
      <w:proofErr w:type="spellEnd"/>
      <w:r>
        <w:rPr>
          <w:lang w:val="ru-RU"/>
        </w:rPr>
        <w:t xml:space="preserve"> в </w:t>
      </w:r>
      <w:proofErr w:type="spellStart"/>
      <w:r>
        <w:rPr>
          <w:lang w:val="ru-RU"/>
        </w:rPr>
        <w:t>одне</w:t>
      </w:r>
      <w:proofErr w:type="spellEnd"/>
      <w:r>
        <w:rPr>
          <w:lang w:val="ru-RU"/>
        </w:rPr>
        <w:t xml:space="preserve"> </w:t>
      </w:r>
      <w:proofErr w:type="spellStart"/>
      <w:r>
        <w:rPr>
          <w:lang w:val="ru-RU"/>
        </w:rPr>
        <w:t>ціле</w:t>
      </w:r>
      <w:proofErr w:type="spellEnd"/>
      <w:r>
        <w:rPr>
          <w:lang w:val="ru-RU"/>
        </w:rPr>
        <w:t xml:space="preserve">. Але </w:t>
      </w:r>
      <w:proofErr w:type="spellStart"/>
      <w:r>
        <w:rPr>
          <w:lang w:val="ru-RU"/>
        </w:rPr>
        <w:t>вже</w:t>
      </w:r>
      <w:proofErr w:type="spellEnd"/>
      <w:r>
        <w:rPr>
          <w:lang w:val="ru-RU"/>
        </w:rPr>
        <w:t xml:space="preserve"> з 6 </w:t>
      </w:r>
      <w:proofErr w:type="spellStart"/>
      <w:r>
        <w:rPr>
          <w:lang w:val="ru-RU"/>
        </w:rPr>
        <w:t>сторіччя</w:t>
      </w:r>
      <w:proofErr w:type="spellEnd"/>
      <w:r>
        <w:rPr>
          <w:lang w:val="ru-RU"/>
        </w:rPr>
        <w:t xml:space="preserve"> Константинополь </w:t>
      </w:r>
      <w:proofErr w:type="spellStart"/>
      <w:r>
        <w:rPr>
          <w:lang w:val="ru-RU"/>
        </w:rPr>
        <w:t>виходить</w:t>
      </w:r>
      <w:proofErr w:type="spellEnd"/>
      <w:r>
        <w:rPr>
          <w:lang w:val="ru-RU"/>
        </w:rPr>
        <w:t xml:space="preserve"> на шлях </w:t>
      </w:r>
      <w:proofErr w:type="spellStart"/>
      <w:r>
        <w:rPr>
          <w:lang w:val="ru-RU"/>
        </w:rPr>
        <w:t>власного</w:t>
      </w:r>
      <w:proofErr w:type="spellEnd"/>
      <w:r>
        <w:rPr>
          <w:lang w:val="ru-RU"/>
        </w:rPr>
        <w:t xml:space="preserve"> </w:t>
      </w:r>
      <w:proofErr w:type="spellStart"/>
      <w:r>
        <w:rPr>
          <w:lang w:val="ru-RU"/>
        </w:rPr>
        <w:t>розвитку</w:t>
      </w:r>
      <w:proofErr w:type="spellEnd"/>
      <w:r>
        <w:rPr>
          <w:lang w:val="ru-RU"/>
        </w:rPr>
        <w:t xml:space="preserve"> і </w:t>
      </w:r>
      <w:proofErr w:type="spellStart"/>
      <w:r>
        <w:rPr>
          <w:lang w:val="ru-RU"/>
        </w:rPr>
        <w:t>перетворює</w:t>
      </w:r>
      <w:proofErr w:type="spellEnd"/>
      <w:r>
        <w:rPr>
          <w:lang w:val="ru-RU"/>
        </w:rPr>
        <w:t xml:space="preserve"> все в </w:t>
      </w:r>
      <w:proofErr w:type="spellStart"/>
      <w:r>
        <w:rPr>
          <w:lang w:val="ru-RU"/>
        </w:rPr>
        <w:t>оригінальний</w:t>
      </w:r>
      <w:proofErr w:type="spellEnd"/>
      <w:r>
        <w:rPr>
          <w:lang w:val="ru-RU"/>
        </w:rPr>
        <w:t xml:space="preserve"> </w:t>
      </w:r>
      <w:proofErr w:type="spellStart"/>
      <w:r>
        <w:rPr>
          <w:lang w:val="ru-RU"/>
        </w:rPr>
        <w:t>індивідуальний</w:t>
      </w:r>
      <w:proofErr w:type="spellEnd"/>
      <w:r>
        <w:rPr>
          <w:lang w:val="ru-RU"/>
        </w:rPr>
        <w:t xml:space="preserve"> стиль. </w:t>
      </w:r>
      <w:proofErr w:type="spellStart"/>
      <w:r>
        <w:rPr>
          <w:lang w:val="ru-RU"/>
        </w:rPr>
        <w:t>Східні</w:t>
      </w:r>
      <w:proofErr w:type="spellEnd"/>
      <w:r>
        <w:rPr>
          <w:lang w:val="ru-RU"/>
        </w:rPr>
        <w:t xml:space="preserve"> </w:t>
      </w:r>
      <w:proofErr w:type="spellStart"/>
      <w:r>
        <w:rPr>
          <w:lang w:val="ru-RU"/>
        </w:rPr>
        <w:t>впливи</w:t>
      </w:r>
      <w:proofErr w:type="spellEnd"/>
      <w:r>
        <w:rPr>
          <w:lang w:val="ru-RU"/>
        </w:rPr>
        <w:t xml:space="preserve"> </w:t>
      </w:r>
      <w:proofErr w:type="spellStart"/>
      <w:r>
        <w:rPr>
          <w:lang w:val="ru-RU"/>
        </w:rPr>
        <w:t>приживаються</w:t>
      </w:r>
      <w:proofErr w:type="spellEnd"/>
      <w:r>
        <w:rPr>
          <w:lang w:val="ru-RU"/>
        </w:rPr>
        <w:t xml:space="preserve"> </w:t>
      </w:r>
      <w:proofErr w:type="spellStart"/>
      <w:r>
        <w:rPr>
          <w:lang w:val="ru-RU"/>
        </w:rPr>
        <w:t>відповідно</w:t>
      </w:r>
      <w:proofErr w:type="spellEnd"/>
      <w:r>
        <w:rPr>
          <w:lang w:val="ru-RU"/>
        </w:rPr>
        <w:t xml:space="preserve"> до </w:t>
      </w:r>
      <w:proofErr w:type="spellStart"/>
      <w:r>
        <w:rPr>
          <w:lang w:val="ru-RU"/>
        </w:rPr>
        <w:t>моди</w:t>
      </w:r>
      <w:proofErr w:type="spellEnd"/>
      <w:r>
        <w:rPr>
          <w:lang w:val="ru-RU"/>
        </w:rPr>
        <w:t xml:space="preserve"> та потреб </w:t>
      </w:r>
      <w:proofErr w:type="spellStart"/>
      <w:r>
        <w:rPr>
          <w:lang w:val="ru-RU"/>
        </w:rPr>
        <w:t>суспільства</w:t>
      </w:r>
      <w:proofErr w:type="spellEnd"/>
      <w:r>
        <w:rPr>
          <w:lang w:val="ru-RU"/>
        </w:rPr>
        <w:t xml:space="preserve">. У </w:t>
      </w:r>
      <w:proofErr w:type="spellStart"/>
      <w:r>
        <w:rPr>
          <w:lang w:val="ru-RU"/>
        </w:rPr>
        <w:t>своїй</w:t>
      </w:r>
      <w:proofErr w:type="spellEnd"/>
      <w:r>
        <w:rPr>
          <w:lang w:val="ru-RU"/>
        </w:rPr>
        <w:t xml:space="preserve"> </w:t>
      </w:r>
      <w:proofErr w:type="spellStart"/>
      <w:r>
        <w:rPr>
          <w:lang w:val="ru-RU"/>
        </w:rPr>
        <w:t>культурі</w:t>
      </w:r>
      <w:proofErr w:type="spellEnd"/>
      <w:r>
        <w:rPr>
          <w:lang w:val="ru-RU"/>
        </w:rPr>
        <w:t xml:space="preserve"> Константинополь </w:t>
      </w:r>
      <w:proofErr w:type="spellStart"/>
      <w:r>
        <w:rPr>
          <w:lang w:val="ru-RU"/>
        </w:rPr>
        <w:t>ассимілює</w:t>
      </w:r>
      <w:proofErr w:type="spellEnd"/>
      <w:r>
        <w:rPr>
          <w:lang w:val="ru-RU"/>
        </w:rPr>
        <w:t xml:space="preserve"> </w:t>
      </w:r>
      <w:proofErr w:type="spellStart"/>
      <w:r>
        <w:rPr>
          <w:lang w:val="ru-RU"/>
        </w:rPr>
        <w:t>велику</w:t>
      </w:r>
      <w:proofErr w:type="spellEnd"/>
      <w:r>
        <w:rPr>
          <w:lang w:val="ru-RU"/>
        </w:rPr>
        <w:t xml:space="preserve"> </w:t>
      </w:r>
      <w:proofErr w:type="spellStart"/>
      <w:r>
        <w:rPr>
          <w:lang w:val="ru-RU"/>
        </w:rPr>
        <w:t>кількість</w:t>
      </w:r>
      <w:proofErr w:type="spellEnd"/>
      <w:r>
        <w:rPr>
          <w:lang w:val="ru-RU"/>
        </w:rPr>
        <w:t xml:space="preserve"> </w:t>
      </w:r>
      <w:proofErr w:type="spellStart"/>
      <w:r>
        <w:rPr>
          <w:lang w:val="ru-RU"/>
        </w:rPr>
        <w:t>національностей</w:t>
      </w:r>
      <w:proofErr w:type="spellEnd"/>
      <w:r>
        <w:rPr>
          <w:lang w:val="ru-RU"/>
        </w:rPr>
        <w:t xml:space="preserve">: </w:t>
      </w:r>
      <w:proofErr w:type="spellStart"/>
      <w:r>
        <w:rPr>
          <w:lang w:val="ru-RU"/>
        </w:rPr>
        <w:t>армяни</w:t>
      </w:r>
      <w:proofErr w:type="spellEnd"/>
      <w:r>
        <w:rPr>
          <w:lang w:val="ru-RU"/>
        </w:rPr>
        <w:t xml:space="preserve">, </w:t>
      </w:r>
      <w:proofErr w:type="spellStart"/>
      <w:r>
        <w:rPr>
          <w:lang w:val="ru-RU"/>
        </w:rPr>
        <w:t>грузини</w:t>
      </w:r>
      <w:proofErr w:type="spellEnd"/>
      <w:r>
        <w:rPr>
          <w:lang w:val="ru-RU"/>
        </w:rPr>
        <w:t xml:space="preserve">, </w:t>
      </w:r>
      <w:proofErr w:type="spellStart"/>
      <w:r>
        <w:rPr>
          <w:lang w:val="ru-RU"/>
        </w:rPr>
        <w:t>руси</w:t>
      </w:r>
      <w:proofErr w:type="spellEnd"/>
      <w:r>
        <w:rPr>
          <w:lang w:val="ru-RU"/>
        </w:rPr>
        <w:t xml:space="preserve">, </w:t>
      </w:r>
      <w:proofErr w:type="spellStart"/>
      <w:r>
        <w:rPr>
          <w:lang w:val="ru-RU"/>
        </w:rPr>
        <w:t>серби</w:t>
      </w:r>
      <w:proofErr w:type="spellEnd"/>
      <w:r>
        <w:rPr>
          <w:lang w:val="ru-RU"/>
        </w:rPr>
        <w:t xml:space="preserve">, </w:t>
      </w:r>
      <w:proofErr w:type="spellStart"/>
      <w:r>
        <w:rPr>
          <w:lang w:val="ru-RU"/>
        </w:rPr>
        <w:t>болгари</w:t>
      </w:r>
      <w:proofErr w:type="spellEnd"/>
      <w:r>
        <w:rPr>
          <w:lang w:val="ru-RU"/>
        </w:rPr>
        <w:t xml:space="preserve">, </w:t>
      </w:r>
      <w:proofErr w:type="spellStart"/>
      <w:r>
        <w:rPr>
          <w:lang w:val="ru-RU"/>
        </w:rPr>
        <w:t>латиняни</w:t>
      </w:r>
      <w:proofErr w:type="spellEnd"/>
      <w:r>
        <w:rPr>
          <w:lang w:val="ru-RU"/>
        </w:rPr>
        <w:t xml:space="preserve">, </w:t>
      </w:r>
      <w:proofErr w:type="spellStart"/>
      <w:r>
        <w:rPr>
          <w:lang w:val="ru-RU"/>
        </w:rPr>
        <w:t>сирійці</w:t>
      </w:r>
      <w:proofErr w:type="spellEnd"/>
      <w:r>
        <w:rPr>
          <w:lang w:val="ru-RU"/>
        </w:rPr>
        <w:t xml:space="preserve">, </w:t>
      </w:r>
      <w:proofErr w:type="spellStart"/>
      <w:r>
        <w:rPr>
          <w:lang w:val="ru-RU"/>
        </w:rPr>
        <w:t>каппадокійців</w:t>
      </w:r>
      <w:proofErr w:type="spellEnd"/>
      <w:r>
        <w:rPr>
          <w:lang w:val="ru-RU"/>
        </w:rPr>
        <w:t xml:space="preserve">, </w:t>
      </w:r>
      <w:proofErr w:type="spellStart"/>
      <w:r>
        <w:rPr>
          <w:lang w:val="ru-RU"/>
        </w:rPr>
        <w:t>змушуючи</w:t>
      </w:r>
      <w:proofErr w:type="spellEnd"/>
      <w:r>
        <w:rPr>
          <w:lang w:val="ru-RU"/>
        </w:rPr>
        <w:t xml:space="preserve"> </w:t>
      </w:r>
      <w:proofErr w:type="spellStart"/>
      <w:r>
        <w:rPr>
          <w:lang w:val="ru-RU"/>
        </w:rPr>
        <w:t>їх</w:t>
      </w:r>
      <w:proofErr w:type="spellEnd"/>
      <w:r>
        <w:rPr>
          <w:lang w:val="ru-RU"/>
        </w:rPr>
        <w:t xml:space="preserve"> </w:t>
      </w:r>
      <w:proofErr w:type="spellStart"/>
      <w:r>
        <w:rPr>
          <w:lang w:val="ru-RU"/>
        </w:rPr>
        <w:t>жити</w:t>
      </w:r>
      <w:proofErr w:type="spellEnd"/>
      <w:r>
        <w:rPr>
          <w:lang w:val="ru-RU"/>
        </w:rPr>
        <w:t xml:space="preserve"> за </w:t>
      </w:r>
      <w:proofErr w:type="spellStart"/>
      <w:r>
        <w:rPr>
          <w:lang w:val="ru-RU"/>
        </w:rPr>
        <w:t>своїми</w:t>
      </w:r>
      <w:proofErr w:type="spellEnd"/>
      <w:r>
        <w:rPr>
          <w:lang w:val="ru-RU"/>
        </w:rPr>
        <w:t xml:space="preserve"> законами. </w:t>
      </w:r>
      <w:proofErr w:type="spellStart"/>
      <w:r>
        <w:rPr>
          <w:lang w:val="ru-RU"/>
        </w:rPr>
        <w:t>Візантійський</w:t>
      </w:r>
      <w:proofErr w:type="spellEnd"/>
      <w:r>
        <w:rPr>
          <w:lang w:val="ru-RU"/>
        </w:rPr>
        <w:t xml:space="preserve"> стиль </w:t>
      </w:r>
      <w:proofErr w:type="spellStart"/>
      <w:r>
        <w:rPr>
          <w:lang w:val="ru-RU"/>
        </w:rPr>
        <w:t>поступово</w:t>
      </w:r>
      <w:proofErr w:type="spellEnd"/>
      <w:r>
        <w:rPr>
          <w:lang w:val="ru-RU"/>
        </w:rPr>
        <w:t xml:space="preserve"> </w:t>
      </w:r>
      <w:proofErr w:type="spellStart"/>
      <w:r>
        <w:rPr>
          <w:lang w:val="ru-RU"/>
        </w:rPr>
        <w:t>поширується</w:t>
      </w:r>
      <w:proofErr w:type="spellEnd"/>
      <w:r>
        <w:rPr>
          <w:lang w:val="ru-RU"/>
        </w:rPr>
        <w:t xml:space="preserve"> </w:t>
      </w:r>
      <w:proofErr w:type="spellStart"/>
      <w:r>
        <w:rPr>
          <w:lang w:val="ru-RU"/>
        </w:rPr>
        <w:t>світом</w:t>
      </w:r>
      <w:proofErr w:type="spellEnd"/>
      <w:r>
        <w:rPr>
          <w:lang w:val="ru-RU"/>
        </w:rPr>
        <w:t xml:space="preserve">: </w:t>
      </w:r>
      <w:proofErr w:type="spellStart"/>
      <w:r>
        <w:rPr>
          <w:lang w:val="ru-RU"/>
        </w:rPr>
        <w:t>християнський</w:t>
      </w:r>
      <w:proofErr w:type="spellEnd"/>
      <w:r>
        <w:rPr>
          <w:lang w:val="ru-RU"/>
        </w:rPr>
        <w:t xml:space="preserve"> </w:t>
      </w:r>
      <w:proofErr w:type="spellStart"/>
      <w:r>
        <w:rPr>
          <w:lang w:val="ru-RU"/>
        </w:rPr>
        <w:t>Схід</w:t>
      </w:r>
      <w:proofErr w:type="spellEnd"/>
      <w:r>
        <w:rPr>
          <w:lang w:val="ru-RU"/>
        </w:rPr>
        <w:t xml:space="preserve">, Русь, </w:t>
      </w:r>
      <w:proofErr w:type="spellStart"/>
      <w:r>
        <w:rPr>
          <w:lang w:val="ru-RU"/>
        </w:rPr>
        <w:t>Балкани</w:t>
      </w:r>
      <w:proofErr w:type="spellEnd"/>
      <w:r>
        <w:rPr>
          <w:lang w:val="ru-RU"/>
        </w:rPr>
        <w:t xml:space="preserve">, Кавказ. </w:t>
      </w:r>
    </w:p>
    <w:p w:rsidR="000D2285" w:rsidRDefault="000D2285" w:rsidP="000D2285">
      <w:pPr>
        <w:pStyle w:val="a3"/>
        <w:spacing w:before="278" w:beforeAutospacing="0" w:after="278" w:line="240" w:lineRule="auto"/>
      </w:pPr>
      <w:r>
        <w:rPr>
          <w:rFonts w:ascii="Verdana" w:hAnsi="Verdana"/>
          <w:b/>
          <w:bCs/>
          <w:color w:val="000000"/>
          <w:sz w:val="14"/>
          <w:szCs w:val="14"/>
        </w:rPr>
        <w:lastRenderedPageBreak/>
        <w:t>Періодизація культури Візантії</w:t>
      </w:r>
    </w:p>
    <w:p w:rsidR="000D2285" w:rsidRDefault="000D2285" w:rsidP="00857B87">
      <w:pPr>
        <w:pStyle w:val="a3"/>
        <w:numPr>
          <w:ilvl w:val="0"/>
          <w:numId w:val="1"/>
        </w:numPr>
        <w:spacing w:before="278" w:beforeAutospacing="0" w:after="278" w:line="240" w:lineRule="auto"/>
      </w:pPr>
      <w:r>
        <w:rPr>
          <w:rFonts w:ascii="Verdana" w:hAnsi="Verdana"/>
          <w:color w:val="000000"/>
          <w:sz w:val="14"/>
          <w:szCs w:val="14"/>
        </w:rPr>
        <w:t>Рання доба візантійської культури — IV — VII ст. — доба переходу від античності до Середньовіччя та активної переробки античних традицій у середньовічному дусі. У різних галузях знань, літератури, мистецтва спостерігається суміш язичницьких та християнських ідей та образів, язичницької міфології та християнської містики.</w:t>
      </w:r>
    </w:p>
    <w:p w:rsidR="000D2285" w:rsidRDefault="000D2285" w:rsidP="000D2285">
      <w:pPr>
        <w:pStyle w:val="a3"/>
        <w:spacing w:before="278" w:beforeAutospacing="0" w:after="278" w:line="240" w:lineRule="auto"/>
      </w:pPr>
      <w:r>
        <w:rPr>
          <w:rFonts w:ascii="Verdana" w:hAnsi="Verdana"/>
          <w:color w:val="000000"/>
          <w:sz w:val="14"/>
          <w:szCs w:val="14"/>
        </w:rPr>
        <w:t xml:space="preserve">У </w:t>
      </w:r>
      <w:proofErr w:type="spellStart"/>
      <w:r>
        <w:rPr>
          <w:rFonts w:ascii="Verdana" w:hAnsi="Verdana"/>
          <w:color w:val="000000"/>
          <w:sz w:val="14"/>
          <w:szCs w:val="14"/>
        </w:rPr>
        <w:t>патрістичній</w:t>
      </w:r>
      <w:proofErr w:type="spellEnd"/>
      <w:r>
        <w:rPr>
          <w:rFonts w:ascii="Verdana" w:hAnsi="Verdana"/>
          <w:color w:val="000000"/>
          <w:sz w:val="14"/>
          <w:szCs w:val="14"/>
        </w:rPr>
        <w:t xml:space="preserve"> літературі — літературі отців церкви (від лат. «</w:t>
      </w:r>
      <w:proofErr w:type="spellStart"/>
      <w:r>
        <w:rPr>
          <w:rFonts w:ascii="Verdana" w:hAnsi="Verdana"/>
          <w:color w:val="000000"/>
          <w:sz w:val="14"/>
          <w:szCs w:val="14"/>
        </w:rPr>
        <w:t>pater</w:t>
      </w:r>
      <w:proofErr w:type="spellEnd"/>
      <w:r>
        <w:rPr>
          <w:rFonts w:ascii="Verdana" w:hAnsi="Verdana"/>
          <w:color w:val="000000"/>
          <w:sz w:val="14"/>
          <w:szCs w:val="14"/>
        </w:rPr>
        <w:t xml:space="preserve">» — отець): працях Василія Кесарійського, Григорія </w:t>
      </w:r>
      <w:proofErr w:type="spellStart"/>
      <w:r>
        <w:rPr>
          <w:rFonts w:ascii="Verdana" w:hAnsi="Verdana"/>
          <w:color w:val="000000"/>
          <w:sz w:val="14"/>
          <w:szCs w:val="14"/>
        </w:rPr>
        <w:t>Назіанзина</w:t>
      </w:r>
      <w:proofErr w:type="spellEnd"/>
      <w:r>
        <w:rPr>
          <w:rFonts w:ascii="Verdana" w:hAnsi="Verdana"/>
          <w:color w:val="000000"/>
          <w:sz w:val="14"/>
          <w:szCs w:val="14"/>
        </w:rPr>
        <w:t xml:space="preserve">, Григорія </w:t>
      </w:r>
      <w:proofErr w:type="spellStart"/>
      <w:r>
        <w:rPr>
          <w:rFonts w:ascii="Verdana" w:hAnsi="Verdana"/>
          <w:color w:val="000000"/>
          <w:sz w:val="14"/>
          <w:szCs w:val="14"/>
        </w:rPr>
        <w:t>Нисського</w:t>
      </w:r>
      <w:proofErr w:type="spellEnd"/>
      <w:r>
        <w:rPr>
          <w:rFonts w:ascii="Verdana" w:hAnsi="Verdana"/>
          <w:color w:val="000000"/>
          <w:sz w:val="14"/>
          <w:szCs w:val="14"/>
        </w:rPr>
        <w:t xml:space="preserve">, промовах Іоанна Златоуста були закладені основи християнського богослов’я та філософії, які своїм корінням сягали в історію еллінського мислення. У центрі цієї філософії знаходилося розуміння буття як блага, що виправдовує існування космосу, тобто — і світу, і людини. Це розуміння буття як блага розходилося із християнським аскетизмом, на якому базувалося середньовічне світосприйняття, і поєднувало візантійську </w:t>
      </w:r>
      <w:proofErr w:type="spellStart"/>
      <w:r>
        <w:rPr>
          <w:rFonts w:ascii="Verdana" w:hAnsi="Verdana"/>
          <w:color w:val="000000"/>
          <w:sz w:val="14"/>
          <w:szCs w:val="14"/>
        </w:rPr>
        <w:t>філософсько</w:t>
      </w:r>
      <w:proofErr w:type="spellEnd"/>
      <w:r>
        <w:rPr>
          <w:rFonts w:ascii="Verdana" w:hAnsi="Verdana"/>
          <w:color w:val="000000"/>
          <w:sz w:val="14"/>
          <w:szCs w:val="14"/>
        </w:rPr>
        <w:t>-релігійну думку із античністю.</w:t>
      </w:r>
    </w:p>
    <w:p w:rsidR="000D2285" w:rsidRDefault="000D2285" w:rsidP="00857B87">
      <w:pPr>
        <w:pStyle w:val="a3"/>
        <w:numPr>
          <w:ilvl w:val="0"/>
          <w:numId w:val="1"/>
        </w:numPr>
        <w:spacing w:before="278" w:beforeAutospacing="0" w:after="278" w:line="240" w:lineRule="auto"/>
      </w:pPr>
      <w:r>
        <w:rPr>
          <w:rFonts w:ascii="Verdana" w:hAnsi="Verdana"/>
          <w:b/>
          <w:bCs/>
          <w:color w:val="000000"/>
          <w:sz w:val="14"/>
          <w:szCs w:val="14"/>
        </w:rPr>
        <w:t>Класичний період візантійської культури VIII — XI ст.</w:t>
      </w:r>
    </w:p>
    <w:p w:rsidR="000D2285" w:rsidRDefault="000D2285" w:rsidP="000D2285">
      <w:pPr>
        <w:pStyle w:val="a3"/>
        <w:spacing w:before="278" w:beforeAutospacing="0" w:after="278" w:line="240" w:lineRule="auto"/>
      </w:pPr>
      <w:r>
        <w:rPr>
          <w:rFonts w:ascii="Verdana" w:hAnsi="Verdana"/>
          <w:color w:val="000000"/>
          <w:sz w:val="14"/>
          <w:szCs w:val="14"/>
        </w:rPr>
        <w:t xml:space="preserve">Цей період, а точніше ІХ — ХІ ст. — часи правління македонської династії — називається золотим віком, так званим «македонським відродженням». Відроджуються міста, розвиваються ремесла, удосконалюється мистецтво виготовлення виробів з кераміки і скла, </w:t>
      </w:r>
      <w:proofErr w:type="spellStart"/>
      <w:r>
        <w:rPr>
          <w:rFonts w:ascii="Verdana" w:hAnsi="Verdana"/>
          <w:color w:val="000000"/>
          <w:sz w:val="14"/>
          <w:szCs w:val="14"/>
        </w:rPr>
        <w:t>перегородчастої</w:t>
      </w:r>
      <w:proofErr w:type="spellEnd"/>
      <w:r>
        <w:rPr>
          <w:rFonts w:ascii="Verdana" w:hAnsi="Verdana"/>
          <w:color w:val="000000"/>
          <w:sz w:val="14"/>
          <w:szCs w:val="14"/>
        </w:rPr>
        <w:t xml:space="preserve"> емалі, шовку.</w:t>
      </w:r>
    </w:p>
    <w:p w:rsidR="000D2285" w:rsidRDefault="000D2285" w:rsidP="000D2285">
      <w:pPr>
        <w:pStyle w:val="a3"/>
        <w:spacing w:before="278" w:beforeAutospacing="0" w:after="278" w:line="240" w:lineRule="auto"/>
      </w:pPr>
      <w:r>
        <w:rPr>
          <w:rFonts w:ascii="Verdana" w:hAnsi="Verdana"/>
          <w:color w:val="000000"/>
          <w:sz w:val="14"/>
          <w:szCs w:val="14"/>
        </w:rPr>
        <w:t xml:space="preserve">Архітектура розвивається у двох напрямах, поєднуючи мистецтво будівництва культових споруд — того типу купольного храму, що стає одним із символів візантійської культури, — і світських будівель — привабливих, невеликих за розмірами, затишних і розкішних палаців (палаци </w:t>
      </w:r>
      <w:proofErr w:type="spellStart"/>
      <w:r>
        <w:rPr>
          <w:rFonts w:ascii="Verdana" w:hAnsi="Verdana"/>
          <w:color w:val="000000"/>
          <w:sz w:val="14"/>
          <w:szCs w:val="14"/>
        </w:rPr>
        <w:t>Вуколеон</w:t>
      </w:r>
      <w:proofErr w:type="spellEnd"/>
      <w:r>
        <w:rPr>
          <w:rFonts w:ascii="Verdana" w:hAnsi="Verdana"/>
          <w:color w:val="000000"/>
          <w:sz w:val="14"/>
          <w:szCs w:val="14"/>
        </w:rPr>
        <w:t xml:space="preserve"> і </w:t>
      </w:r>
      <w:proofErr w:type="spellStart"/>
      <w:r>
        <w:rPr>
          <w:rFonts w:ascii="Verdana" w:hAnsi="Verdana"/>
          <w:color w:val="000000"/>
          <w:sz w:val="14"/>
          <w:szCs w:val="14"/>
        </w:rPr>
        <w:t>Влахерні</w:t>
      </w:r>
      <w:proofErr w:type="spellEnd"/>
      <w:r>
        <w:rPr>
          <w:rFonts w:ascii="Verdana" w:hAnsi="Verdana"/>
          <w:color w:val="000000"/>
          <w:sz w:val="14"/>
          <w:szCs w:val="14"/>
        </w:rPr>
        <w:t xml:space="preserve"> в Константинополі).</w:t>
      </w:r>
    </w:p>
    <w:p w:rsidR="00857B87" w:rsidRDefault="000D2285" w:rsidP="000D2285">
      <w:pPr>
        <w:pStyle w:val="a3"/>
        <w:spacing w:before="278" w:beforeAutospacing="0" w:after="278" w:line="240" w:lineRule="auto"/>
        <w:rPr>
          <w:rFonts w:ascii="Verdana" w:hAnsi="Verdana"/>
          <w:color w:val="000000"/>
          <w:sz w:val="14"/>
          <w:szCs w:val="14"/>
        </w:rPr>
      </w:pPr>
      <w:r>
        <w:rPr>
          <w:rFonts w:ascii="Verdana" w:hAnsi="Verdana"/>
          <w:color w:val="000000"/>
          <w:sz w:val="14"/>
          <w:szCs w:val="14"/>
        </w:rPr>
        <w:t xml:space="preserve">З другим — класичним — періодом (VIII — XI ст.) пов’язаний дуже важливий для розвитку культури епізод — іконоборство. Воно виникає за часів </w:t>
      </w:r>
      <w:proofErr w:type="spellStart"/>
      <w:r>
        <w:rPr>
          <w:rFonts w:ascii="Verdana" w:hAnsi="Verdana"/>
          <w:color w:val="000000"/>
          <w:sz w:val="14"/>
          <w:szCs w:val="14"/>
        </w:rPr>
        <w:t>Ісаврійської</w:t>
      </w:r>
      <w:proofErr w:type="spellEnd"/>
      <w:r>
        <w:rPr>
          <w:rFonts w:ascii="Verdana" w:hAnsi="Verdana"/>
          <w:color w:val="000000"/>
          <w:sz w:val="14"/>
          <w:szCs w:val="14"/>
        </w:rPr>
        <w:t xml:space="preserve"> династії (засновник Анатолій Лев ІІІ </w:t>
      </w:r>
      <w:proofErr w:type="spellStart"/>
      <w:r>
        <w:rPr>
          <w:rFonts w:ascii="Verdana" w:hAnsi="Verdana"/>
          <w:color w:val="000000"/>
          <w:sz w:val="14"/>
          <w:szCs w:val="14"/>
        </w:rPr>
        <w:t>Ісавр</w:t>
      </w:r>
      <w:proofErr w:type="spellEnd"/>
      <w:r>
        <w:rPr>
          <w:rFonts w:ascii="Verdana" w:hAnsi="Verdana"/>
          <w:color w:val="000000"/>
          <w:sz w:val="14"/>
          <w:szCs w:val="14"/>
        </w:rPr>
        <w:t xml:space="preserve"> — стратег Малоазійської </w:t>
      </w:r>
      <w:proofErr w:type="spellStart"/>
      <w:r>
        <w:rPr>
          <w:rFonts w:ascii="Verdana" w:hAnsi="Verdana"/>
          <w:color w:val="000000"/>
          <w:sz w:val="14"/>
          <w:szCs w:val="14"/>
        </w:rPr>
        <w:t>феми</w:t>
      </w:r>
      <w:proofErr w:type="spellEnd"/>
      <w:r>
        <w:rPr>
          <w:rFonts w:ascii="Verdana" w:hAnsi="Verdana"/>
          <w:color w:val="000000"/>
          <w:sz w:val="14"/>
          <w:szCs w:val="14"/>
        </w:rPr>
        <w:t xml:space="preserve"> — </w:t>
      </w:r>
      <w:proofErr w:type="spellStart"/>
      <w:r>
        <w:rPr>
          <w:rFonts w:ascii="Verdana" w:hAnsi="Verdana"/>
          <w:color w:val="000000"/>
          <w:sz w:val="14"/>
          <w:szCs w:val="14"/>
        </w:rPr>
        <w:t>військовослужбового</w:t>
      </w:r>
      <w:proofErr w:type="spellEnd"/>
      <w:r>
        <w:rPr>
          <w:rFonts w:ascii="Verdana" w:hAnsi="Verdana"/>
          <w:color w:val="000000"/>
          <w:sz w:val="14"/>
          <w:szCs w:val="14"/>
        </w:rPr>
        <w:t xml:space="preserve"> устрою, що спирався на село) як стихійний рух проти </w:t>
      </w:r>
      <w:proofErr w:type="spellStart"/>
      <w:r>
        <w:rPr>
          <w:rFonts w:ascii="Verdana" w:hAnsi="Verdana"/>
          <w:color w:val="000000"/>
          <w:sz w:val="14"/>
          <w:szCs w:val="14"/>
        </w:rPr>
        <w:t>іконошанування</w:t>
      </w:r>
      <w:proofErr w:type="spellEnd"/>
      <w:r>
        <w:rPr>
          <w:rFonts w:ascii="Verdana" w:hAnsi="Verdana"/>
          <w:color w:val="000000"/>
          <w:sz w:val="14"/>
          <w:szCs w:val="14"/>
        </w:rPr>
        <w:t xml:space="preserve">. По суті це була боротьба за владу і прибутки між імператором і церквою: бо прибутки церкви від ікон, віри людей в чудо, «божественного спасителя» були більшими, аніж імператорів. Одним з результатів боротьби іконоборців з </w:t>
      </w:r>
      <w:proofErr w:type="spellStart"/>
      <w:r>
        <w:rPr>
          <w:rFonts w:ascii="Verdana" w:hAnsi="Verdana"/>
          <w:color w:val="000000"/>
          <w:sz w:val="14"/>
          <w:szCs w:val="14"/>
        </w:rPr>
        <w:t>іконошанувальниками</w:t>
      </w:r>
      <w:proofErr w:type="spellEnd"/>
      <w:r>
        <w:rPr>
          <w:rFonts w:ascii="Verdana" w:hAnsi="Verdana"/>
          <w:color w:val="000000"/>
          <w:sz w:val="14"/>
          <w:szCs w:val="14"/>
        </w:rPr>
        <w:t xml:space="preserve"> стає розвиток візантійської богословської думки, що формується в полеміці з догматами західноєвропейської церкви. На відміну від римської курії, що виступала за примат духовної влади над світською, православна візантійська церква підтримала ідею єдності церкви з державою. </w:t>
      </w:r>
    </w:p>
    <w:p w:rsidR="000D2285" w:rsidRDefault="000D2285" w:rsidP="00857B87">
      <w:pPr>
        <w:pStyle w:val="a3"/>
        <w:numPr>
          <w:ilvl w:val="0"/>
          <w:numId w:val="1"/>
        </w:numPr>
        <w:spacing w:before="278" w:beforeAutospacing="0" w:after="278" w:line="240" w:lineRule="auto"/>
      </w:pPr>
      <w:r>
        <w:rPr>
          <w:rFonts w:ascii="Verdana" w:hAnsi="Verdana"/>
          <w:b/>
          <w:bCs/>
          <w:color w:val="000000"/>
          <w:sz w:val="14"/>
          <w:szCs w:val="14"/>
        </w:rPr>
        <w:t xml:space="preserve">Епоха </w:t>
      </w:r>
      <w:proofErr w:type="spellStart"/>
      <w:r>
        <w:rPr>
          <w:rFonts w:ascii="Verdana" w:hAnsi="Verdana"/>
          <w:b/>
          <w:bCs/>
          <w:color w:val="000000"/>
          <w:sz w:val="14"/>
          <w:szCs w:val="14"/>
        </w:rPr>
        <w:t>Комнінів</w:t>
      </w:r>
      <w:proofErr w:type="spellEnd"/>
      <w:r>
        <w:rPr>
          <w:rFonts w:ascii="Verdana" w:hAnsi="Verdana"/>
          <w:b/>
          <w:bCs/>
          <w:color w:val="000000"/>
          <w:sz w:val="14"/>
          <w:szCs w:val="14"/>
        </w:rPr>
        <w:t xml:space="preserve"> — ХІ — ХІІ ст.</w:t>
      </w:r>
    </w:p>
    <w:p w:rsidR="000D2285" w:rsidRDefault="000D2285" w:rsidP="000D2285">
      <w:pPr>
        <w:pStyle w:val="a3"/>
        <w:spacing w:before="278" w:beforeAutospacing="0" w:after="278" w:line="240" w:lineRule="auto"/>
      </w:pPr>
      <w:r>
        <w:rPr>
          <w:rFonts w:ascii="Verdana" w:hAnsi="Verdana"/>
          <w:color w:val="000000"/>
          <w:sz w:val="14"/>
          <w:szCs w:val="14"/>
        </w:rPr>
        <w:t xml:space="preserve">Це період розквіту візантійської культури. Поширюються контакти з країнами Заходу і Сходу. Світський, міський характер культури виявляється у розвитку мистецтва розваг, поетичних та спортивних змагань, меценатства. У філософії формується доктрина раціоналізму, що стверджує незалежність світських знань від релігії (Михаїл Псел, Іоанн </w:t>
      </w:r>
      <w:proofErr w:type="spellStart"/>
      <w:r>
        <w:rPr>
          <w:rFonts w:ascii="Verdana" w:hAnsi="Verdana"/>
          <w:color w:val="000000"/>
          <w:sz w:val="14"/>
          <w:szCs w:val="14"/>
        </w:rPr>
        <w:t>Італ</w:t>
      </w:r>
      <w:proofErr w:type="spellEnd"/>
      <w:r>
        <w:rPr>
          <w:rFonts w:ascii="Verdana" w:hAnsi="Verdana"/>
          <w:color w:val="000000"/>
          <w:sz w:val="14"/>
          <w:szCs w:val="14"/>
        </w:rPr>
        <w:t>). Зростає зв’язок з античною культурою, знову починають вивчати античні тексти в різних галузях, формується сатиричне ставлення до Середньовіччя. У літературі відбувається відродження античного роману і розвивається критичне ставлення до ідеї аскетизму.</w:t>
      </w:r>
    </w:p>
    <w:p w:rsidR="000D2285" w:rsidRDefault="000D2285" w:rsidP="00857B87">
      <w:pPr>
        <w:pStyle w:val="a3"/>
        <w:numPr>
          <w:ilvl w:val="0"/>
          <w:numId w:val="1"/>
        </w:numPr>
        <w:spacing w:before="278" w:beforeAutospacing="0" w:after="278" w:line="240" w:lineRule="auto"/>
      </w:pPr>
      <w:r>
        <w:rPr>
          <w:rFonts w:ascii="Verdana" w:hAnsi="Verdana"/>
          <w:b/>
          <w:bCs/>
          <w:color w:val="000000"/>
          <w:sz w:val="14"/>
          <w:szCs w:val="14"/>
        </w:rPr>
        <w:t>Культура пізньої Візантії ХIII — XVІ ст.</w:t>
      </w:r>
    </w:p>
    <w:p w:rsidR="000D2285" w:rsidRDefault="000D2285" w:rsidP="000D2285">
      <w:pPr>
        <w:pStyle w:val="a3"/>
        <w:spacing w:before="278" w:beforeAutospacing="0" w:after="278" w:line="240" w:lineRule="auto"/>
        <w:rPr>
          <w:rFonts w:ascii="Verdana" w:hAnsi="Verdana"/>
          <w:color w:val="000000"/>
          <w:sz w:val="14"/>
          <w:szCs w:val="14"/>
        </w:rPr>
      </w:pPr>
      <w:r>
        <w:rPr>
          <w:rFonts w:ascii="Verdana" w:hAnsi="Verdana"/>
          <w:color w:val="000000"/>
          <w:sz w:val="14"/>
          <w:szCs w:val="14"/>
        </w:rPr>
        <w:t xml:space="preserve">У цей період посилюється взаємодія грецької і західноєвропейської цивілізацій, особливо в епоху Латинської імперії (1204-1261 рр.), яку хрестоносці, що захопили Константинополь (1204 р.), заснували там. Відкрито монастир </w:t>
      </w:r>
      <w:proofErr w:type="spellStart"/>
      <w:r>
        <w:rPr>
          <w:rFonts w:ascii="Verdana" w:hAnsi="Verdana"/>
          <w:color w:val="000000"/>
          <w:sz w:val="14"/>
          <w:szCs w:val="14"/>
        </w:rPr>
        <w:t>Св</w:t>
      </w:r>
      <w:proofErr w:type="spellEnd"/>
      <w:r>
        <w:rPr>
          <w:rFonts w:ascii="Verdana" w:hAnsi="Verdana"/>
          <w:color w:val="000000"/>
          <w:sz w:val="14"/>
          <w:szCs w:val="14"/>
        </w:rPr>
        <w:t>. Домініка — центр поширення католицизму.</w:t>
      </w:r>
      <w:r w:rsidR="00857B87">
        <w:rPr>
          <w:lang w:val="ru-RU"/>
        </w:rPr>
        <w:t xml:space="preserve"> </w:t>
      </w:r>
      <w:r>
        <w:rPr>
          <w:rFonts w:ascii="Verdana" w:hAnsi="Verdana"/>
          <w:color w:val="000000"/>
          <w:sz w:val="14"/>
          <w:szCs w:val="14"/>
        </w:rPr>
        <w:t>При дворах латинських імператорів запроваджувалися західні звичаї та розваги. Але православна церква дала опір цьому процесу. Усе це прискорило розпад Візантійської імперії.</w:t>
      </w:r>
    </w:p>
    <w:p w:rsidR="00E526B8" w:rsidRDefault="00E526B8" w:rsidP="000D2285">
      <w:pPr>
        <w:pStyle w:val="a3"/>
        <w:spacing w:before="278" w:beforeAutospacing="0" w:after="278" w:line="240" w:lineRule="auto"/>
        <w:rPr>
          <w:rFonts w:ascii="Verdana" w:hAnsi="Verdana"/>
          <w:color w:val="000000"/>
          <w:sz w:val="14"/>
          <w:szCs w:val="14"/>
        </w:rPr>
      </w:pPr>
      <w:r>
        <w:rPr>
          <w:rFonts w:ascii="Verdana" w:hAnsi="Verdana"/>
          <w:color w:val="000000"/>
          <w:sz w:val="14"/>
          <w:szCs w:val="14"/>
        </w:rPr>
        <w:t>Пам’ятки</w:t>
      </w:r>
    </w:p>
    <w:p w:rsidR="000D2285" w:rsidRDefault="000D2285" w:rsidP="000D2285">
      <w:pPr>
        <w:pStyle w:val="a3"/>
        <w:numPr>
          <w:ilvl w:val="0"/>
          <w:numId w:val="2"/>
        </w:numPr>
        <w:spacing w:before="278" w:beforeAutospacing="0" w:after="278" w:line="240" w:lineRule="auto"/>
      </w:pPr>
      <w:proofErr w:type="spellStart"/>
      <w:r w:rsidRPr="00E526B8">
        <w:rPr>
          <w:rFonts w:ascii="Verdana" w:hAnsi="Verdana"/>
          <w:b/>
          <w:bCs/>
          <w:color w:val="000000"/>
          <w:sz w:val="14"/>
          <w:szCs w:val="14"/>
        </w:rPr>
        <w:t>Хрестово</w:t>
      </w:r>
      <w:proofErr w:type="spellEnd"/>
      <w:r w:rsidRPr="00E526B8">
        <w:rPr>
          <w:rFonts w:ascii="Verdana" w:hAnsi="Verdana"/>
          <w:b/>
          <w:bCs/>
          <w:color w:val="000000"/>
          <w:sz w:val="14"/>
          <w:szCs w:val="14"/>
        </w:rPr>
        <w:t>-купольний храм як модель всесвіту</w:t>
      </w:r>
    </w:p>
    <w:p w:rsidR="000D2285" w:rsidRDefault="000D2285" w:rsidP="00E526B8">
      <w:pPr>
        <w:pStyle w:val="a3"/>
        <w:spacing w:before="278" w:beforeAutospacing="0" w:after="278" w:line="240" w:lineRule="auto"/>
      </w:pPr>
      <w:r>
        <w:rPr>
          <w:rFonts w:ascii="Verdana" w:hAnsi="Verdana"/>
          <w:color w:val="000000"/>
          <w:sz w:val="14"/>
          <w:szCs w:val="14"/>
        </w:rPr>
        <w:t>Візантійська картина світу відповідала середньовічній. Світ сприймався як образ бога і кожна річ несла на собі знак «</w:t>
      </w:r>
      <w:proofErr w:type="spellStart"/>
      <w:r>
        <w:rPr>
          <w:rFonts w:ascii="Verdana" w:hAnsi="Verdana"/>
          <w:color w:val="000000"/>
          <w:sz w:val="14"/>
          <w:szCs w:val="14"/>
        </w:rPr>
        <w:t>тварності</w:t>
      </w:r>
      <w:proofErr w:type="spellEnd"/>
      <w:r>
        <w:rPr>
          <w:rFonts w:ascii="Verdana" w:hAnsi="Verdana"/>
          <w:color w:val="000000"/>
          <w:sz w:val="14"/>
          <w:szCs w:val="14"/>
        </w:rPr>
        <w:t>» — тобто міру досконалості. Установлювалася ієрархія досконалостей і згідно з нею — ієрархія жанрів і видів мистецтва, композиція архітектурних споруд, символіка кольору та світла в монументальному живописі та іконі.</w:t>
      </w:r>
    </w:p>
    <w:p w:rsidR="000D2285" w:rsidRDefault="000D2285" w:rsidP="000D2285">
      <w:pPr>
        <w:pStyle w:val="a3"/>
        <w:spacing w:before="278" w:beforeAutospacing="0" w:after="278" w:line="240" w:lineRule="auto"/>
      </w:pPr>
      <w:r>
        <w:rPr>
          <w:rFonts w:ascii="Verdana" w:hAnsi="Verdana"/>
          <w:color w:val="000000"/>
          <w:sz w:val="14"/>
          <w:szCs w:val="14"/>
        </w:rPr>
        <w:t xml:space="preserve">Простір під куполом обмежувався чотирма масивними стовпами, на яких і тримався купол. Чотири пілони-стовпи були настільки масивні, що за рахунок їх товщини почали робити чотири </w:t>
      </w:r>
      <w:proofErr w:type="spellStart"/>
      <w:r>
        <w:rPr>
          <w:rFonts w:ascii="Verdana" w:hAnsi="Verdana"/>
          <w:color w:val="000000"/>
          <w:sz w:val="14"/>
          <w:szCs w:val="14"/>
        </w:rPr>
        <w:t>підкупольні</w:t>
      </w:r>
      <w:proofErr w:type="spellEnd"/>
      <w:r>
        <w:rPr>
          <w:rFonts w:ascii="Verdana" w:hAnsi="Verdana"/>
          <w:color w:val="000000"/>
          <w:sz w:val="14"/>
          <w:szCs w:val="14"/>
        </w:rPr>
        <w:t xml:space="preserve"> арки однакової глибини, такої великої, що в плані з’являвся хрест, вписаний в загальний квадрат плану:</w:t>
      </w:r>
    </w:p>
    <w:p w:rsidR="000D2285" w:rsidRDefault="000D2285" w:rsidP="00E526B8">
      <w:pPr>
        <w:pStyle w:val="a3"/>
        <w:numPr>
          <w:ilvl w:val="1"/>
          <w:numId w:val="4"/>
        </w:numPr>
        <w:spacing w:before="278" w:beforeAutospacing="0" w:after="278" w:line="240" w:lineRule="auto"/>
      </w:pPr>
      <w:r>
        <w:rPr>
          <w:rFonts w:ascii="Verdana" w:hAnsi="Verdana"/>
          <w:color w:val="000000"/>
          <w:sz w:val="14"/>
          <w:szCs w:val="14"/>
        </w:rPr>
        <w:t xml:space="preserve">Собор </w:t>
      </w:r>
      <w:proofErr w:type="spellStart"/>
      <w:r>
        <w:rPr>
          <w:rFonts w:ascii="Verdana" w:hAnsi="Verdana"/>
          <w:color w:val="000000"/>
          <w:sz w:val="14"/>
          <w:szCs w:val="14"/>
        </w:rPr>
        <w:t>Св</w:t>
      </w:r>
      <w:proofErr w:type="spellEnd"/>
      <w:r>
        <w:rPr>
          <w:rFonts w:ascii="Verdana" w:hAnsi="Verdana"/>
          <w:color w:val="000000"/>
          <w:sz w:val="14"/>
          <w:szCs w:val="14"/>
        </w:rPr>
        <w:t xml:space="preserve">. Софії в Константинополі архітекторів </w:t>
      </w:r>
      <w:proofErr w:type="spellStart"/>
      <w:r>
        <w:rPr>
          <w:rFonts w:ascii="Verdana" w:hAnsi="Verdana"/>
          <w:color w:val="000000"/>
          <w:sz w:val="14"/>
          <w:szCs w:val="14"/>
        </w:rPr>
        <w:t>Анфілія</w:t>
      </w:r>
      <w:proofErr w:type="spellEnd"/>
      <w:r>
        <w:rPr>
          <w:rFonts w:ascii="Verdana" w:hAnsi="Verdana"/>
          <w:color w:val="000000"/>
          <w:sz w:val="14"/>
          <w:szCs w:val="14"/>
        </w:rPr>
        <w:t xml:space="preserve"> з </w:t>
      </w:r>
      <w:proofErr w:type="spellStart"/>
      <w:r>
        <w:rPr>
          <w:rFonts w:ascii="Verdana" w:hAnsi="Verdana"/>
          <w:color w:val="000000"/>
          <w:sz w:val="14"/>
          <w:szCs w:val="14"/>
        </w:rPr>
        <w:t>Тралла</w:t>
      </w:r>
      <w:proofErr w:type="spellEnd"/>
      <w:r>
        <w:rPr>
          <w:rFonts w:ascii="Verdana" w:hAnsi="Verdana"/>
          <w:color w:val="000000"/>
          <w:sz w:val="14"/>
          <w:szCs w:val="14"/>
        </w:rPr>
        <w:t xml:space="preserve"> та Ісідора з </w:t>
      </w:r>
      <w:proofErr w:type="spellStart"/>
      <w:r>
        <w:rPr>
          <w:rFonts w:ascii="Verdana" w:hAnsi="Verdana"/>
          <w:color w:val="000000"/>
          <w:sz w:val="14"/>
          <w:szCs w:val="14"/>
        </w:rPr>
        <w:t>Мілета</w:t>
      </w:r>
      <w:proofErr w:type="spellEnd"/>
      <w:r>
        <w:rPr>
          <w:rFonts w:ascii="Verdana" w:hAnsi="Verdana"/>
          <w:color w:val="000000"/>
          <w:sz w:val="14"/>
          <w:szCs w:val="14"/>
        </w:rPr>
        <w:t>:</w:t>
      </w:r>
    </w:p>
    <w:p w:rsidR="000D2285" w:rsidRDefault="000D2285" w:rsidP="000D2285">
      <w:pPr>
        <w:pStyle w:val="a3"/>
        <w:spacing w:before="278" w:beforeAutospacing="0" w:after="278" w:line="240" w:lineRule="auto"/>
      </w:pPr>
      <w:r>
        <w:rPr>
          <w:rFonts w:ascii="Verdana" w:hAnsi="Verdana"/>
          <w:color w:val="000000"/>
          <w:sz w:val="14"/>
          <w:szCs w:val="14"/>
        </w:rPr>
        <w:t>Центрична будова храму і всі його частини відзначені сакральною символікою: голова, купол — символ божественної влади; тригодинна абсида — триєдності Отця, Сина та Святого Духу.</w:t>
      </w:r>
    </w:p>
    <w:p w:rsidR="000D2285" w:rsidRDefault="000D2285" w:rsidP="000D2285">
      <w:pPr>
        <w:pStyle w:val="a3"/>
        <w:spacing w:before="278" w:beforeAutospacing="0" w:after="278" w:line="240" w:lineRule="auto"/>
      </w:pPr>
      <w:r>
        <w:rPr>
          <w:rFonts w:ascii="Verdana" w:hAnsi="Verdana"/>
          <w:color w:val="000000"/>
          <w:sz w:val="14"/>
          <w:szCs w:val="14"/>
        </w:rPr>
        <w:t>Внутрішнє оформлення храму теж має глибоке символічне значення, де зміст і функція зримого образу — духовне сходження до істини, а розміщення зображень в інтер’єрі — канон, закріплений згідно з ієрархічною будовою світу:</w:t>
      </w:r>
    </w:p>
    <w:p w:rsidR="000D2285" w:rsidRDefault="000D2285" w:rsidP="000D2285">
      <w:pPr>
        <w:pStyle w:val="a3"/>
        <w:spacing w:before="278" w:beforeAutospacing="0" w:after="278" w:line="240" w:lineRule="auto"/>
      </w:pPr>
      <w:r>
        <w:rPr>
          <w:rFonts w:ascii="Verdana" w:hAnsi="Verdana"/>
          <w:color w:val="000000"/>
          <w:sz w:val="14"/>
          <w:szCs w:val="14"/>
        </w:rPr>
        <w:t xml:space="preserve">у куполі — </w:t>
      </w:r>
      <w:proofErr w:type="spellStart"/>
      <w:r>
        <w:rPr>
          <w:rFonts w:ascii="Verdana" w:hAnsi="Verdana"/>
          <w:color w:val="000000"/>
          <w:sz w:val="14"/>
          <w:szCs w:val="14"/>
        </w:rPr>
        <w:t>Пантократор</w:t>
      </w:r>
      <w:proofErr w:type="spellEnd"/>
      <w:r>
        <w:rPr>
          <w:rFonts w:ascii="Verdana" w:hAnsi="Verdana"/>
          <w:color w:val="000000"/>
          <w:sz w:val="14"/>
          <w:szCs w:val="14"/>
        </w:rPr>
        <w:t xml:space="preserve"> — Вседержитель, або, як в Софії Константинопольській, — голуба мозаїка і золотий хрест усередині:</w:t>
      </w:r>
    </w:p>
    <w:p w:rsidR="000D2285" w:rsidRDefault="000D2285" w:rsidP="000D2285">
      <w:pPr>
        <w:pStyle w:val="a3"/>
        <w:spacing w:before="278" w:beforeAutospacing="0" w:after="278" w:line="240" w:lineRule="auto"/>
      </w:pPr>
      <w:r>
        <w:rPr>
          <w:rFonts w:ascii="Verdana" w:hAnsi="Verdana"/>
          <w:color w:val="000000"/>
          <w:sz w:val="14"/>
          <w:szCs w:val="14"/>
        </w:rPr>
        <w:t>у верхньому регістрі інтер’єру — «сили небесні» та «стовпи світу»: пророки, євангелісти, апостоли;</w:t>
      </w:r>
    </w:p>
    <w:p w:rsidR="000D2285" w:rsidRDefault="000D2285" w:rsidP="000D2285">
      <w:pPr>
        <w:pStyle w:val="a3"/>
        <w:spacing w:before="278" w:beforeAutospacing="0" w:after="278" w:line="240" w:lineRule="auto"/>
      </w:pPr>
      <w:r>
        <w:rPr>
          <w:rFonts w:ascii="Verdana" w:hAnsi="Verdana"/>
          <w:color w:val="000000"/>
          <w:sz w:val="14"/>
          <w:szCs w:val="14"/>
        </w:rPr>
        <w:t>світове кільце, 40 вікон біля основи барабана куполу — символ Бога:</w:t>
      </w:r>
    </w:p>
    <w:p w:rsidR="000D2285" w:rsidRDefault="000D2285" w:rsidP="000D2285">
      <w:pPr>
        <w:pStyle w:val="a3"/>
        <w:spacing w:before="278" w:beforeAutospacing="0" w:after="278" w:line="240" w:lineRule="auto"/>
      </w:pPr>
      <w:r>
        <w:rPr>
          <w:rFonts w:ascii="Verdana" w:hAnsi="Verdana"/>
          <w:color w:val="000000"/>
          <w:sz w:val="14"/>
          <w:szCs w:val="14"/>
        </w:rPr>
        <w:t>у верхній частині апсиди — Богоматір Оранта (Заступниця) — символ «</w:t>
      </w:r>
      <w:proofErr w:type="spellStart"/>
      <w:r>
        <w:rPr>
          <w:rFonts w:ascii="Verdana" w:hAnsi="Verdana"/>
          <w:color w:val="000000"/>
          <w:sz w:val="14"/>
          <w:szCs w:val="14"/>
        </w:rPr>
        <w:t>передстояння</w:t>
      </w:r>
      <w:proofErr w:type="spellEnd"/>
      <w:r>
        <w:rPr>
          <w:rFonts w:ascii="Verdana" w:hAnsi="Verdana"/>
          <w:color w:val="000000"/>
          <w:sz w:val="14"/>
          <w:szCs w:val="14"/>
        </w:rPr>
        <w:t>» земного царства (з піднятими руками):</w:t>
      </w:r>
    </w:p>
    <w:p w:rsidR="000D2285" w:rsidRDefault="000D2285" w:rsidP="000D2285">
      <w:pPr>
        <w:pStyle w:val="a3"/>
        <w:spacing w:before="278" w:beforeAutospacing="0" w:after="278" w:line="240" w:lineRule="auto"/>
      </w:pPr>
      <w:r>
        <w:rPr>
          <w:rFonts w:ascii="Verdana" w:hAnsi="Verdana"/>
          <w:color w:val="000000"/>
          <w:sz w:val="14"/>
          <w:szCs w:val="14"/>
        </w:rPr>
        <w:t>у центрі внутрішнього простору Софії Константинопольської знаходився величезний амвон із срібла і  дорогоцінного каміння, біля якого розгорталися церковні церемонії; інтер’єр прикрашали мармур і золота смальта;</w:t>
      </w:r>
    </w:p>
    <w:p w:rsidR="000D2285" w:rsidRDefault="000D2285" w:rsidP="000D2285">
      <w:pPr>
        <w:pStyle w:val="a3"/>
        <w:spacing w:before="278" w:beforeAutospacing="0" w:after="278" w:line="240" w:lineRule="auto"/>
        <w:rPr>
          <w:rFonts w:ascii="Verdana" w:hAnsi="Verdana"/>
          <w:color w:val="000000"/>
          <w:sz w:val="14"/>
          <w:szCs w:val="14"/>
        </w:rPr>
      </w:pPr>
      <w:r>
        <w:rPr>
          <w:rFonts w:ascii="Verdana" w:hAnsi="Verdana"/>
          <w:color w:val="000000"/>
          <w:sz w:val="14"/>
          <w:szCs w:val="14"/>
        </w:rPr>
        <w:lastRenderedPageBreak/>
        <w:t>До храмового ансамблю входила і найважливіша її складова — Слово, що розглядається як втілений Логос, божественна істина, і є вершиною християнської ієрархії цінностей</w:t>
      </w:r>
      <w:r w:rsidR="00E526B8">
        <w:rPr>
          <w:rFonts w:ascii="Verdana" w:hAnsi="Verdana"/>
          <w:color w:val="000000"/>
          <w:sz w:val="14"/>
          <w:szCs w:val="14"/>
        </w:rPr>
        <w:t>.</w:t>
      </w:r>
    </w:p>
    <w:p w:rsidR="00E526B8" w:rsidRDefault="00E526B8" w:rsidP="00E526B8">
      <w:pPr>
        <w:pStyle w:val="a3"/>
        <w:numPr>
          <w:ilvl w:val="1"/>
          <w:numId w:val="4"/>
        </w:numPr>
        <w:spacing w:before="278" w:beforeAutospacing="0" w:after="278" w:line="240" w:lineRule="auto"/>
        <w:rPr>
          <w:rFonts w:ascii="Arial" w:hAnsi="Arial" w:cs="Arial"/>
          <w:color w:val="252525"/>
          <w:sz w:val="21"/>
          <w:szCs w:val="21"/>
          <w:shd w:val="clear" w:color="auto" w:fill="FFFFFF"/>
        </w:rPr>
      </w:pPr>
      <w:r>
        <w:rPr>
          <w:rFonts w:ascii="Verdana" w:hAnsi="Verdana"/>
          <w:color w:val="000000"/>
          <w:sz w:val="14"/>
          <w:szCs w:val="14"/>
        </w:rPr>
        <w:t xml:space="preserve">Церква Святої Ірини </w:t>
      </w:r>
      <w:r>
        <w:rPr>
          <w:rStyle w:val="apple-converted-space"/>
          <w:rFonts w:ascii="Arial" w:hAnsi="Arial" w:cs="Arial"/>
          <w:color w:val="252525"/>
          <w:sz w:val="21"/>
          <w:szCs w:val="21"/>
          <w:shd w:val="clear" w:color="auto" w:fill="FFFFFF"/>
        </w:rPr>
        <w:t xml:space="preserve"> - </w:t>
      </w:r>
      <w:r>
        <w:rPr>
          <w:rFonts w:ascii="Arial" w:hAnsi="Arial" w:cs="Arial"/>
          <w:color w:val="252525"/>
          <w:sz w:val="21"/>
          <w:szCs w:val="21"/>
          <w:shd w:val="clear" w:color="auto" w:fill="FFFFFF"/>
        </w:rPr>
        <w:t>найстаріша серед збережених християнських церков колишнього Константинополя, розташована на території палацового комплексу</w:t>
      </w:r>
      <w:r>
        <w:rPr>
          <w:rStyle w:val="apple-converted-space"/>
          <w:rFonts w:ascii="Arial" w:hAnsi="Arial" w:cs="Arial"/>
          <w:color w:val="252525"/>
          <w:sz w:val="21"/>
          <w:szCs w:val="21"/>
          <w:shd w:val="clear" w:color="auto" w:fill="FFFFFF"/>
        </w:rPr>
        <w:t> </w:t>
      </w:r>
      <w:proofErr w:type="spellStart"/>
      <w:r w:rsidRPr="00E526B8">
        <w:rPr>
          <w:rFonts w:ascii="Arial" w:hAnsi="Arial" w:cs="Arial"/>
          <w:sz w:val="21"/>
          <w:szCs w:val="21"/>
          <w:shd w:val="clear" w:color="auto" w:fill="FFFFFF"/>
        </w:rPr>
        <w:t>Топкапи</w:t>
      </w:r>
      <w:proofErr w:type="spellEnd"/>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в давній столиці Туреччини.</w:t>
      </w:r>
    </w:p>
    <w:p w:rsidR="00E526B8" w:rsidRPr="00E526B8" w:rsidRDefault="00E526B8" w:rsidP="00E526B8">
      <w:pPr>
        <w:shd w:val="clear" w:color="auto" w:fill="FFFFFF"/>
        <w:spacing w:before="120" w:after="120" w:line="240" w:lineRule="auto"/>
        <w:rPr>
          <w:rFonts w:ascii="Arial" w:eastAsia="Times New Roman" w:hAnsi="Arial" w:cs="Arial"/>
          <w:sz w:val="21"/>
          <w:szCs w:val="21"/>
          <w:lang w:eastAsia="uk-UA"/>
        </w:rPr>
      </w:pPr>
      <w:r w:rsidRPr="00E526B8">
        <w:rPr>
          <w:rFonts w:ascii="Arial" w:eastAsia="Times New Roman" w:hAnsi="Arial" w:cs="Arial"/>
          <w:sz w:val="21"/>
          <w:szCs w:val="21"/>
          <w:lang w:eastAsia="uk-UA"/>
        </w:rPr>
        <w:t xml:space="preserve">Вибудувана з червоної цегли і каменю. Належить до типу купольних базилік, з якими храм поєднують три нави. Бічні нави невисокі, відокремлені від центральної низкою колон. Над колонадою — галереї другого поверху. Центральна </w:t>
      </w:r>
      <w:proofErr w:type="spellStart"/>
      <w:r w:rsidRPr="00E526B8">
        <w:rPr>
          <w:rFonts w:ascii="Arial" w:eastAsia="Times New Roman" w:hAnsi="Arial" w:cs="Arial"/>
          <w:sz w:val="21"/>
          <w:szCs w:val="21"/>
          <w:lang w:eastAsia="uk-UA"/>
        </w:rPr>
        <w:t>нава</w:t>
      </w:r>
      <w:proofErr w:type="spellEnd"/>
      <w:r w:rsidRPr="00E526B8">
        <w:rPr>
          <w:rFonts w:ascii="Arial" w:eastAsia="Times New Roman" w:hAnsi="Arial" w:cs="Arial"/>
          <w:sz w:val="21"/>
          <w:szCs w:val="21"/>
          <w:lang w:eastAsia="uk-UA"/>
        </w:rPr>
        <w:t xml:space="preserve"> надзвичайно широка. Масивні пілони підтримують велетенські арки, другий ярус яких нічим не відокремлений від внутрішнього простору храму, що збільшує враження просторості. (Гадають, що аркади 2-го ярусу колись були, але їх розібрали, від чого </w:t>
      </w:r>
      <w:proofErr w:type="spellStart"/>
      <w:r w:rsidRPr="00E526B8">
        <w:rPr>
          <w:rFonts w:ascii="Arial" w:eastAsia="Times New Roman" w:hAnsi="Arial" w:cs="Arial"/>
          <w:sz w:val="21"/>
          <w:szCs w:val="21"/>
          <w:lang w:eastAsia="uk-UA"/>
        </w:rPr>
        <w:t>зальність</w:t>
      </w:r>
      <w:proofErr w:type="spellEnd"/>
      <w:r w:rsidRPr="00E526B8">
        <w:rPr>
          <w:rFonts w:ascii="Arial" w:eastAsia="Times New Roman" w:hAnsi="Arial" w:cs="Arial"/>
          <w:sz w:val="21"/>
          <w:szCs w:val="21"/>
          <w:lang w:eastAsia="uk-UA"/>
        </w:rPr>
        <w:t xml:space="preserve"> церкви виграла). Перехід до бані здійснено сферичними вітрилами, </w:t>
      </w:r>
      <w:proofErr w:type="spellStart"/>
      <w:r w:rsidRPr="00E526B8">
        <w:rPr>
          <w:rFonts w:ascii="Arial" w:eastAsia="Times New Roman" w:hAnsi="Arial" w:cs="Arial"/>
          <w:sz w:val="21"/>
          <w:szCs w:val="21"/>
          <w:lang w:eastAsia="uk-UA"/>
        </w:rPr>
        <w:t>добревідомими</w:t>
      </w:r>
      <w:proofErr w:type="spellEnd"/>
      <w:r w:rsidRPr="00E526B8">
        <w:rPr>
          <w:rFonts w:ascii="Arial" w:eastAsia="Times New Roman" w:hAnsi="Arial" w:cs="Arial"/>
          <w:sz w:val="21"/>
          <w:szCs w:val="21"/>
          <w:lang w:eastAsia="uk-UA"/>
        </w:rPr>
        <w:t xml:space="preserve"> по споруді так званого мавзолея Галли </w:t>
      </w:r>
      <w:proofErr w:type="spellStart"/>
      <w:r w:rsidRPr="00E526B8">
        <w:rPr>
          <w:rFonts w:ascii="Arial" w:eastAsia="Times New Roman" w:hAnsi="Arial" w:cs="Arial"/>
          <w:sz w:val="21"/>
          <w:szCs w:val="21"/>
          <w:lang w:eastAsia="uk-UA"/>
        </w:rPr>
        <w:t>Плацидії</w:t>
      </w:r>
      <w:proofErr w:type="spellEnd"/>
      <w:r w:rsidRPr="00E526B8">
        <w:rPr>
          <w:rFonts w:ascii="Arial" w:eastAsia="Times New Roman" w:hAnsi="Arial" w:cs="Arial"/>
          <w:sz w:val="21"/>
          <w:szCs w:val="21"/>
          <w:lang w:eastAsia="uk-UA"/>
        </w:rPr>
        <w:t xml:space="preserve"> в </w:t>
      </w:r>
      <w:proofErr w:type="spellStart"/>
      <w:r w:rsidRPr="00E526B8">
        <w:rPr>
          <w:rFonts w:ascii="Arial" w:eastAsia="Times New Roman" w:hAnsi="Arial" w:cs="Arial"/>
          <w:sz w:val="21"/>
          <w:szCs w:val="21"/>
          <w:lang w:eastAsia="uk-UA"/>
        </w:rPr>
        <w:t>Равенні</w:t>
      </w:r>
      <w:proofErr w:type="spellEnd"/>
      <w:r w:rsidRPr="00E526B8">
        <w:rPr>
          <w:rFonts w:ascii="Arial" w:eastAsia="Times New Roman" w:hAnsi="Arial" w:cs="Arial"/>
          <w:sz w:val="21"/>
          <w:szCs w:val="21"/>
          <w:lang w:eastAsia="uk-UA"/>
        </w:rPr>
        <w:t xml:space="preserve">. Баня широкого куполу невисока, с низкою </w:t>
      </w:r>
      <w:proofErr w:type="spellStart"/>
      <w:r w:rsidRPr="00E526B8">
        <w:rPr>
          <w:rFonts w:ascii="Arial" w:eastAsia="Times New Roman" w:hAnsi="Arial" w:cs="Arial"/>
          <w:sz w:val="21"/>
          <w:szCs w:val="21"/>
          <w:lang w:eastAsia="uk-UA"/>
        </w:rPr>
        <w:t>напівциркульних</w:t>
      </w:r>
      <w:proofErr w:type="spellEnd"/>
      <w:r w:rsidRPr="00E526B8">
        <w:rPr>
          <w:rFonts w:ascii="Arial" w:eastAsia="Times New Roman" w:hAnsi="Arial" w:cs="Arial"/>
          <w:sz w:val="21"/>
          <w:szCs w:val="21"/>
          <w:lang w:eastAsia="uk-UA"/>
        </w:rPr>
        <w:t xml:space="preserve"> вікон, але головує в зовнішньому вигляді храму. Церква мала і другу баню на захід від головної(відновлена нині в прямокутному вигляді з низьким дахом. Вікна західної бані нині закладені цеглою.)</w:t>
      </w:r>
    </w:p>
    <w:p w:rsidR="00E526B8" w:rsidRDefault="00E526B8" w:rsidP="00E526B8">
      <w:pPr>
        <w:shd w:val="clear" w:color="auto" w:fill="FFFFFF"/>
        <w:spacing w:before="120" w:after="120" w:line="240" w:lineRule="auto"/>
        <w:rPr>
          <w:rFonts w:ascii="Arial" w:eastAsia="Times New Roman" w:hAnsi="Arial" w:cs="Arial"/>
          <w:sz w:val="21"/>
          <w:szCs w:val="21"/>
          <w:lang w:eastAsia="uk-UA"/>
        </w:rPr>
      </w:pPr>
      <w:r w:rsidRPr="00E526B8">
        <w:rPr>
          <w:rFonts w:ascii="Arial" w:eastAsia="Times New Roman" w:hAnsi="Arial" w:cs="Arial"/>
          <w:sz w:val="21"/>
          <w:szCs w:val="21"/>
          <w:lang w:eastAsia="uk-UA"/>
        </w:rPr>
        <w:t xml:space="preserve">На сході — </w:t>
      </w:r>
      <w:proofErr w:type="spellStart"/>
      <w:r w:rsidRPr="00E526B8">
        <w:rPr>
          <w:rFonts w:ascii="Arial" w:eastAsia="Times New Roman" w:hAnsi="Arial" w:cs="Arial"/>
          <w:sz w:val="21"/>
          <w:szCs w:val="21"/>
          <w:lang w:eastAsia="uk-UA"/>
        </w:rPr>
        <w:t>гранчата</w:t>
      </w:r>
      <w:proofErr w:type="spellEnd"/>
      <w:r w:rsidRPr="00E526B8">
        <w:rPr>
          <w:rFonts w:ascii="Arial" w:eastAsia="Times New Roman" w:hAnsi="Arial" w:cs="Arial"/>
          <w:sz w:val="21"/>
          <w:szCs w:val="21"/>
          <w:lang w:eastAsia="uk-UA"/>
        </w:rPr>
        <w:t> апсида, відкрита у простір храму трьома пізніми вікнами. Зовнішні фасади храму маловиразні, нерозроблені і нічим не нагадують декоративного багатства інтер'єрів. Зовнішнього декору практично нема.</w:t>
      </w:r>
    </w:p>
    <w:p w:rsidR="00E526B8" w:rsidRDefault="00E526B8" w:rsidP="000D2285">
      <w:pPr>
        <w:pStyle w:val="a3"/>
        <w:spacing w:before="278" w:beforeAutospacing="0" w:after="278" w:line="240" w:lineRule="auto"/>
        <w:rPr>
          <w:rFonts w:ascii="Arial" w:hAnsi="Arial" w:cs="Arial"/>
          <w:sz w:val="21"/>
          <w:szCs w:val="21"/>
        </w:rPr>
      </w:pPr>
      <w:proofErr w:type="spellStart"/>
      <w:r>
        <w:rPr>
          <w:rFonts w:ascii="Arial" w:hAnsi="Arial" w:cs="Arial"/>
          <w:sz w:val="21"/>
          <w:szCs w:val="21"/>
        </w:rPr>
        <w:t>Іоан</w:t>
      </w:r>
      <w:proofErr w:type="spellEnd"/>
      <w:r>
        <w:rPr>
          <w:rFonts w:ascii="Arial" w:hAnsi="Arial" w:cs="Arial"/>
          <w:sz w:val="21"/>
          <w:szCs w:val="21"/>
        </w:rPr>
        <w:t xml:space="preserve"> </w:t>
      </w:r>
      <w:proofErr w:type="spellStart"/>
      <w:r>
        <w:rPr>
          <w:rFonts w:ascii="Arial" w:hAnsi="Arial" w:cs="Arial"/>
          <w:sz w:val="21"/>
          <w:szCs w:val="21"/>
        </w:rPr>
        <w:t>Малала</w:t>
      </w:r>
      <w:proofErr w:type="spellEnd"/>
      <w:r>
        <w:rPr>
          <w:rFonts w:ascii="Arial" w:hAnsi="Arial" w:cs="Arial"/>
          <w:sz w:val="21"/>
          <w:szCs w:val="21"/>
        </w:rPr>
        <w:t xml:space="preserve"> «Всесвітня Хроніка» - перший історичний твір, який пов’язав наскрізь історію людства. </w:t>
      </w:r>
    </w:p>
    <w:p w:rsidR="00E526B8" w:rsidRDefault="00E526B8" w:rsidP="000D2285">
      <w:pPr>
        <w:pStyle w:val="a3"/>
        <w:spacing w:before="278" w:beforeAutospacing="0" w:after="278" w:line="240" w:lineRule="auto"/>
        <w:rPr>
          <w:rFonts w:ascii="Arial" w:hAnsi="Arial" w:cs="Arial"/>
          <w:sz w:val="21"/>
          <w:szCs w:val="21"/>
        </w:rPr>
      </w:pPr>
      <w:proofErr w:type="spellStart"/>
      <w:r>
        <w:rPr>
          <w:rFonts w:ascii="Arial" w:hAnsi="Arial" w:cs="Arial"/>
          <w:sz w:val="21"/>
          <w:szCs w:val="21"/>
        </w:rPr>
        <w:t>Нікіта</w:t>
      </w:r>
      <w:proofErr w:type="spellEnd"/>
      <w:r>
        <w:rPr>
          <w:rFonts w:ascii="Arial" w:hAnsi="Arial" w:cs="Arial"/>
          <w:sz w:val="21"/>
          <w:szCs w:val="21"/>
        </w:rPr>
        <w:t xml:space="preserve"> </w:t>
      </w:r>
      <w:proofErr w:type="spellStart"/>
      <w:r>
        <w:rPr>
          <w:rFonts w:ascii="Arial" w:hAnsi="Arial" w:cs="Arial"/>
          <w:sz w:val="21"/>
          <w:szCs w:val="21"/>
        </w:rPr>
        <w:t>Хоніат</w:t>
      </w:r>
      <w:proofErr w:type="spellEnd"/>
      <w:r>
        <w:rPr>
          <w:rFonts w:ascii="Arial" w:hAnsi="Arial" w:cs="Arial"/>
          <w:sz w:val="21"/>
          <w:szCs w:val="21"/>
        </w:rPr>
        <w:t xml:space="preserve"> «Історія» - трагічна історія про падіння Константинополя і Візантії: У падінні винні самі візантійці.</w:t>
      </w:r>
    </w:p>
    <w:p w:rsidR="000F7EB3" w:rsidRDefault="000F7EB3" w:rsidP="000D2285">
      <w:pPr>
        <w:pStyle w:val="a3"/>
        <w:spacing w:before="278" w:beforeAutospacing="0" w:after="278" w:line="240" w:lineRule="auto"/>
        <w:rPr>
          <w:rFonts w:ascii="Arial" w:hAnsi="Arial" w:cs="Arial"/>
          <w:sz w:val="21"/>
          <w:szCs w:val="21"/>
        </w:rPr>
      </w:pPr>
      <w:r>
        <w:rPr>
          <w:rFonts w:ascii="Arial" w:hAnsi="Arial" w:cs="Arial"/>
          <w:sz w:val="21"/>
          <w:szCs w:val="21"/>
        </w:rPr>
        <w:t xml:space="preserve">Роман </w:t>
      </w:r>
      <w:proofErr w:type="spellStart"/>
      <w:r>
        <w:rPr>
          <w:rFonts w:ascii="Arial" w:hAnsi="Arial" w:cs="Arial"/>
          <w:sz w:val="21"/>
          <w:szCs w:val="21"/>
        </w:rPr>
        <w:t>Сладкоспівець</w:t>
      </w:r>
      <w:proofErr w:type="spellEnd"/>
      <w:r>
        <w:rPr>
          <w:rFonts w:ascii="Arial" w:hAnsi="Arial" w:cs="Arial"/>
          <w:sz w:val="21"/>
          <w:szCs w:val="21"/>
        </w:rPr>
        <w:t xml:space="preserve"> – Кондаки – нова поетична форма для нових релігійних реалій. Згодом, кондак замінився каноном. </w:t>
      </w:r>
    </w:p>
    <w:p w:rsidR="000F7EB3" w:rsidRDefault="000F7EB3" w:rsidP="000D2285">
      <w:pPr>
        <w:pStyle w:val="a3"/>
        <w:spacing w:before="278" w:beforeAutospacing="0" w:after="278" w:line="240" w:lineRule="auto"/>
        <w:rPr>
          <w:rFonts w:ascii="Arial" w:hAnsi="Arial" w:cs="Arial"/>
          <w:sz w:val="21"/>
          <w:szCs w:val="21"/>
        </w:rPr>
      </w:pPr>
      <w:r>
        <w:rPr>
          <w:rFonts w:ascii="Arial" w:hAnsi="Arial" w:cs="Arial"/>
          <w:sz w:val="21"/>
          <w:szCs w:val="21"/>
        </w:rPr>
        <w:t xml:space="preserve">Візантійські </w:t>
      </w:r>
      <w:proofErr w:type="spellStart"/>
      <w:r>
        <w:rPr>
          <w:rFonts w:ascii="Arial" w:hAnsi="Arial" w:cs="Arial"/>
          <w:sz w:val="21"/>
          <w:szCs w:val="21"/>
        </w:rPr>
        <w:t>мозайки</w:t>
      </w:r>
      <w:proofErr w:type="spellEnd"/>
      <w:r>
        <w:rPr>
          <w:rFonts w:ascii="Arial" w:hAnsi="Arial" w:cs="Arial"/>
          <w:sz w:val="21"/>
          <w:szCs w:val="21"/>
        </w:rPr>
        <w:t xml:space="preserve"> та фрески</w:t>
      </w:r>
    </w:p>
    <w:p w:rsidR="000F7EB3" w:rsidRDefault="000F7EB3" w:rsidP="000D2285">
      <w:pPr>
        <w:pStyle w:val="a3"/>
        <w:spacing w:before="278" w:beforeAutospacing="0" w:after="278" w:line="240" w:lineRule="auto"/>
        <w:rPr>
          <w:rFonts w:ascii="Arial" w:hAnsi="Arial" w:cs="Arial"/>
          <w:sz w:val="21"/>
          <w:szCs w:val="21"/>
        </w:rPr>
      </w:pPr>
      <w:r>
        <w:rPr>
          <w:rFonts w:ascii="Arial" w:hAnsi="Arial" w:cs="Arial"/>
          <w:sz w:val="21"/>
          <w:szCs w:val="21"/>
        </w:rPr>
        <w:t xml:space="preserve">Мозаїки: «Імператриця </w:t>
      </w:r>
      <w:proofErr w:type="spellStart"/>
      <w:r>
        <w:rPr>
          <w:rFonts w:ascii="Arial" w:hAnsi="Arial" w:cs="Arial"/>
          <w:sz w:val="21"/>
          <w:szCs w:val="21"/>
        </w:rPr>
        <w:t>Феодора</w:t>
      </w:r>
      <w:proofErr w:type="spellEnd"/>
      <w:r>
        <w:rPr>
          <w:rFonts w:ascii="Arial" w:hAnsi="Arial" w:cs="Arial"/>
          <w:sz w:val="21"/>
          <w:szCs w:val="21"/>
        </w:rPr>
        <w:t>»</w:t>
      </w:r>
      <w:r>
        <w:rPr>
          <w:rFonts w:ascii="Arial" w:hAnsi="Arial" w:cs="Arial"/>
          <w:sz w:val="21"/>
          <w:szCs w:val="21"/>
          <w:lang w:val="ru-RU"/>
        </w:rPr>
        <w:t xml:space="preserve"> (Сан В</w:t>
      </w:r>
      <w:proofErr w:type="spellStart"/>
      <w:r>
        <w:rPr>
          <w:rFonts w:ascii="Arial" w:hAnsi="Arial" w:cs="Arial"/>
          <w:sz w:val="21"/>
          <w:szCs w:val="21"/>
        </w:rPr>
        <w:t>італе</w:t>
      </w:r>
      <w:proofErr w:type="spellEnd"/>
      <w:r>
        <w:rPr>
          <w:rFonts w:ascii="Arial" w:hAnsi="Arial" w:cs="Arial"/>
          <w:sz w:val="21"/>
          <w:szCs w:val="21"/>
        </w:rPr>
        <w:t xml:space="preserve">), Христос </w:t>
      </w:r>
      <w:proofErr w:type="spellStart"/>
      <w:r>
        <w:rPr>
          <w:rFonts w:ascii="Arial" w:hAnsi="Arial" w:cs="Arial"/>
          <w:sz w:val="21"/>
          <w:szCs w:val="21"/>
        </w:rPr>
        <w:t>Пантократор</w:t>
      </w:r>
      <w:proofErr w:type="spellEnd"/>
      <w:r>
        <w:rPr>
          <w:rFonts w:ascii="Arial" w:hAnsi="Arial" w:cs="Arial"/>
          <w:sz w:val="21"/>
          <w:szCs w:val="21"/>
        </w:rPr>
        <w:t xml:space="preserve"> (монастир </w:t>
      </w:r>
      <w:proofErr w:type="spellStart"/>
      <w:r>
        <w:rPr>
          <w:rFonts w:ascii="Arial" w:hAnsi="Arial" w:cs="Arial"/>
          <w:sz w:val="21"/>
          <w:szCs w:val="21"/>
        </w:rPr>
        <w:t>Дафні</w:t>
      </w:r>
      <w:proofErr w:type="spellEnd"/>
      <w:r>
        <w:rPr>
          <w:rFonts w:ascii="Arial" w:hAnsi="Arial" w:cs="Arial"/>
          <w:sz w:val="21"/>
          <w:szCs w:val="21"/>
        </w:rPr>
        <w:t>)</w:t>
      </w:r>
    </w:p>
    <w:p w:rsidR="000F7EB3" w:rsidRPr="000F7EB3" w:rsidRDefault="000F7EB3" w:rsidP="000D2285">
      <w:pPr>
        <w:pStyle w:val="a3"/>
        <w:spacing w:before="278" w:beforeAutospacing="0" w:after="278" w:line="240" w:lineRule="auto"/>
        <w:rPr>
          <w:rFonts w:ascii="Arial" w:hAnsi="Arial" w:cs="Arial"/>
          <w:sz w:val="21"/>
          <w:szCs w:val="21"/>
        </w:rPr>
      </w:pPr>
      <w:r>
        <w:rPr>
          <w:rFonts w:ascii="Arial" w:hAnsi="Arial" w:cs="Arial"/>
          <w:sz w:val="21"/>
          <w:szCs w:val="21"/>
        </w:rPr>
        <w:t>Фрески: фрески Святої Софії</w:t>
      </w:r>
      <w:bookmarkStart w:id="0" w:name="_GoBack"/>
      <w:bookmarkEnd w:id="0"/>
    </w:p>
    <w:p w:rsidR="000F7EB3" w:rsidRDefault="000F7EB3" w:rsidP="000D2285">
      <w:pPr>
        <w:pStyle w:val="a3"/>
        <w:spacing w:before="278" w:beforeAutospacing="0" w:after="278" w:line="240" w:lineRule="auto"/>
        <w:rPr>
          <w:rFonts w:ascii="Arial" w:hAnsi="Arial" w:cs="Arial"/>
          <w:sz w:val="21"/>
          <w:szCs w:val="21"/>
        </w:rPr>
      </w:pPr>
    </w:p>
    <w:p w:rsidR="00E526B8" w:rsidRPr="00E526B8" w:rsidRDefault="00E526B8" w:rsidP="000D2285">
      <w:pPr>
        <w:pStyle w:val="a3"/>
        <w:spacing w:before="278" w:beforeAutospacing="0" w:after="278" w:line="240" w:lineRule="auto"/>
      </w:pPr>
    </w:p>
    <w:p w:rsidR="005466CE" w:rsidRDefault="005466CE"/>
    <w:sectPr w:rsidR="00546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E53AB"/>
    <w:multiLevelType w:val="multilevel"/>
    <w:tmpl w:val="0C267CA4"/>
    <w:lvl w:ilvl="0">
      <w:start w:val="1"/>
      <w:numFmt w:val="decimal"/>
      <w:lvlText w:val="%1"/>
      <w:lvlJc w:val="left"/>
      <w:pPr>
        <w:ind w:left="360" w:hanging="360"/>
      </w:pPr>
      <w:rPr>
        <w:rFonts w:ascii="Verdana" w:hAnsi="Verdana" w:hint="default"/>
        <w:color w:val="000000"/>
        <w:sz w:val="14"/>
      </w:rPr>
    </w:lvl>
    <w:lvl w:ilvl="1">
      <w:start w:val="1"/>
      <w:numFmt w:val="decimal"/>
      <w:lvlText w:val="%1.%2"/>
      <w:lvlJc w:val="left"/>
      <w:pPr>
        <w:ind w:left="360" w:hanging="360"/>
      </w:pPr>
      <w:rPr>
        <w:rFonts w:ascii="Verdana" w:hAnsi="Verdana" w:hint="default"/>
        <w:color w:val="000000"/>
        <w:sz w:val="14"/>
      </w:rPr>
    </w:lvl>
    <w:lvl w:ilvl="2">
      <w:start w:val="1"/>
      <w:numFmt w:val="decimal"/>
      <w:lvlText w:val="%1.%2.%3"/>
      <w:lvlJc w:val="left"/>
      <w:pPr>
        <w:ind w:left="720" w:hanging="720"/>
      </w:pPr>
      <w:rPr>
        <w:rFonts w:ascii="Verdana" w:hAnsi="Verdana" w:hint="default"/>
        <w:color w:val="000000"/>
        <w:sz w:val="14"/>
      </w:rPr>
    </w:lvl>
    <w:lvl w:ilvl="3">
      <w:start w:val="1"/>
      <w:numFmt w:val="decimal"/>
      <w:lvlText w:val="%1.%2.%3.%4"/>
      <w:lvlJc w:val="left"/>
      <w:pPr>
        <w:ind w:left="720" w:hanging="720"/>
      </w:pPr>
      <w:rPr>
        <w:rFonts w:ascii="Verdana" w:hAnsi="Verdana" w:hint="default"/>
        <w:color w:val="000000"/>
        <w:sz w:val="14"/>
      </w:rPr>
    </w:lvl>
    <w:lvl w:ilvl="4">
      <w:start w:val="1"/>
      <w:numFmt w:val="decimal"/>
      <w:lvlText w:val="%1.%2.%3.%4.%5"/>
      <w:lvlJc w:val="left"/>
      <w:pPr>
        <w:ind w:left="1080" w:hanging="1080"/>
      </w:pPr>
      <w:rPr>
        <w:rFonts w:ascii="Verdana" w:hAnsi="Verdana" w:hint="default"/>
        <w:color w:val="000000"/>
        <w:sz w:val="14"/>
      </w:rPr>
    </w:lvl>
    <w:lvl w:ilvl="5">
      <w:start w:val="1"/>
      <w:numFmt w:val="decimal"/>
      <w:lvlText w:val="%1.%2.%3.%4.%5.%6"/>
      <w:lvlJc w:val="left"/>
      <w:pPr>
        <w:ind w:left="1080" w:hanging="1080"/>
      </w:pPr>
      <w:rPr>
        <w:rFonts w:ascii="Verdana" w:hAnsi="Verdana" w:hint="default"/>
        <w:color w:val="000000"/>
        <w:sz w:val="14"/>
      </w:rPr>
    </w:lvl>
    <w:lvl w:ilvl="6">
      <w:start w:val="1"/>
      <w:numFmt w:val="decimal"/>
      <w:lvlText w:val="%1.%2.%3.%4.%5.%6.%7"/>
      <w:lvlJc w:val="left"/>
      <w:pPr>
        <w:ind w:left="1440" w:hanging="1440"/>
      </w:pPr>
      <w:rPr>
        <w:rFonts w:ascii="Verdana" w:hAnsi="Verdana" w:hint="default"/>
        <w:color w:val="000000"/>
        <w:sz w:val="14"/>
      </w:rPr>
    </w:lvl>
    <w:lvl w:ilvl="7">
      <w:start w:val="1"/>
      <w:numFmt w:val="decimal"/>
      <w:lvlText w:val="%1.%2.%3.%4.%5.%6.%7.%8"/>
      <w:lvlJc w:val="left"/>
      <w:pPr>
        <w:ind w:left="1440" w:hanging="1440"/>
      </w:pPr>
      <w:rPr>
        <w:rFonts w:ascii="Verdana" w:hAnsi="Verdana" w:hint="default"/>
        <w:color w:val="000000"/>
        <w:sz w:val="14"/>
      </w:rPr>
    </w:lvl>
    <w:lvl w:ilvl="8">
      <w:start w:val="1"/>
      <w:numFmt w:val="decimal"/>
      <w:lvlText w:val="%1.%2.%3.%4.%5.%6.%7.%8.%9"/>
      <w:lvlJc w:val="left"/>
      <w:pPr>
        <w:ind w:left="1800" w:hanging="1800"/>
      </w:pPr>
      <w:rPr>
        <w:rFonts w:ascii="Verdana" w:hAnsi="Verdana" w:hint="default"/>
        <w:color w:val="000000"/>
        <w:sz w:val="14"/>
      </w:rPr>
    </w:lvl>
  </w:abstractNum>
  <w:abstractNum w:abstractNumId="1" w15:restartNumberingAfterBreak="0">
    <w:nsid w:val="0A9E1269"/>
    <w:multiLevelType w:val="multilevel"/>
    <w:tmpl w:val="1CB81230"/>
    <w:lvl w:ilvl="0">
      <w:start w:val="1"/>
      <w:numFmt w:val="decimal"/>
      <w:lvlText w:val="%1."/>
      <w:lvlJc w:val="left"/>
      <w:pPr>
        <w:ind w:left="720" w:hanging="360"/>
      </w:pPr>
      <w:rPr>
        <w:rFonts w:ascii="Verdana" w:hAnsi="Verdana" w:hint="default"/>
        <w:color w:val="000000"/>
        <w:sz w:val="14"/>
      </w:rPr>
    </w:lvl>
    <w:lvl w:ilvl="1">
      <w:start w:val="1"/>
      <w:numFmt w:val="decimal"/>
      <w:isLgl/>
      <w:lvlText w:val="%1.%2."/>
      <w:lvlJc w:val="left"/>
      <w:pPr>
        <w:ind w:left="1080" w:hanging="360"/>
      </w:pPr>
      <w:rPr>
        <w:rFonts w:ascii="Verdana" w:hAnsi="Verdana" w:hint="default"/>
        <w:color w:val="000000"/>
        <w:sz w:val="14"/>
      </w:rPr>
    </w:lvl>
    <w:lvl w:ilvl="2">
      <w:start w:val="1"/>
      <w:numFmt w:val="decimal"/>
      <w:isLgl/>
      <w:lvlText w:val="%1.%2.%3."/>
      <w:lvlJc w:val="left"/>
      <w:pPr>
        <w:ind w:left="1800" w:hanging="720"/>
      </w:pPr>
      <w:rPr>
        <w:rFonts w:ascii="Verdana" w:hAnsi="Verdana" w:hint="default"/>
        <w:color w:val="000000"/>
        <w:sz w:val="14"/>
      </w:rPr>
    </w:lvl>
    <w:lvl w:ilvl="3">
      <w:start w:val="1"/>
      <w:numFmt w:val="decimal"/>
      <w:isLgl/>
      <w:lvlText w:val="%1.%2.%3.%4."/>
      <w:lvlJc w:val="left"/>
      <w:pPr>
        <w:ind w:left="2160" w:hanging="720"/>
      </w:pPr>
      <w:rPr>
        <w:rFonts w:ascii="Verdana" w:hAnsi="Verdana" w:hint="default"/>
        <w:color w:val="000000"/>
        <w:sz w:val="14"/>
      </w:rPr>
    </w:lvl>
    <w:lvl w:ilvl="4">
      <w:start w:val="1"/>
      <w:numFmt w:val="decimal"/>
      <w:isLgl/>
      <w:lvlText w:val="%1.%2.%3.%4.%5."/>
      <w:lvlJc w:val="left"/>
      <w:pPr>
        <w:ind w:left="2880" w:hanging="1080"/>
      </w:pPr>
      <w:rPr>
        <w:rFonts w:ascii="Verdana" w:hAnsi="Verdana" w:hint="default"/>
        <w:color w:val="000000"/>
        <w:sz w:val="14"/>
      </w:rPr>
    </w:lvl>
    <w:lvl w:ilvl="5">
      <w:start w:val="1"/>
      <w:numFmt w:val="decimal"/>
      <w:isLgl/>
      <w:lvlText w:val="%1.%2.%3.%4.%5.%6."/>
      <w:lvlJc w:val="left"/>
      <w:pPr>
        <w:ind w:left="3240" w:hanging="1080"/>
      </w:pPr>
      <w:rPr>
        <w:rFonts w:ascii="Verdana" w:hAnsi="Verdana" w:hint="default"/>
        <w:color w:val="000000"/>
        <w:sz w:val="14"/>
      </w:rPr>
    </w:lvl>
    <w:lvl w:ilvl="6">
      <w:start w:val="1"/>
      <w:numFmt w:val="decimal"/>
      <w:isLgl/>
      <w:lvlText w:val="%1.%2.%3.%4.%5.%6.%7."/>
      <w:lvlJc w:val="left"/>
      <w:pPr>
        <w:ind w:left="3960" w:hanging="1440"/>
      </w:pPr>
      <w:rPr>
        <w:rFonts w:ascii="Verdana" w:hAnsi="Verdana" w:hint="default"/>
        <w:color w:val="000000"/>
        <w:sz w:val="14"/>
      </w:rPr>
    </w:lvl>
    <w:lvl w:ilvl="7">
      <w:start w:val="1"/>
      <w:numFmt w:val="decimal"/>
      <w:isLgl/>
      <w:lvlText w:val="%1.%2.%3.%4.%5.%6.%7.%8."/>
      <w:lvlJc w:val="left"/>
      <w:pPr>
        <w:ind w:left="4320" w:hanging="1440"/>
      </w:pPr>
      <w:rPr>
        <w:rFonts w:ascii="Verdana" w:hAnsi="Verdana" w:hint="default"/>
        <w:color w:val="000000"/>
        <w:sz w:val="14"/>
      </w:rPr>
    </w:lvl>
    <w:lvl w:ilvl="8">
      <w:start w:val="1"/>
      <w:numFmt w:val="decimal"/>
      <w:isLgl/>
      <w:lvlText w:val="%1.%2.%3.%4.%5.%6.%7.%8.%9."/>
      <w:lvlJc w:val="left"/>
      <w:pPr>
        <w:ind w:left="5040" w:hanging="1800"/>
      </w:pPr>
      <w:rPr>
        <w:rFonts w:ascii="Verdana" w:hAnsi="Verdana" w:hint="default"/>
        <w:color w:val="000000"/>
        <w:sz w:val="14"/>
      </w:rPr>
    </w:lvl>
  </w:abstractNum>
  <w:abstractNum w:abstractNumId="2" w15:restartNumberingAfterBreak="0">
    <w:nsid w:val="76853021"/>
    <w:multiLevelType w:val="hybridMultilevel"/>
    <w:tmpl w:val="CFD495C0"/>
    <w:lvl w:ilvl="0" w:tplc="8FA09036">
      <w:start w:val="1"/>
      <w:numFmt w:val="decimal"/>
      <w:lvlText w:val="%1."/>
      <w:lvlJc w:val="left"/>
      <w:pPr>
        <w:ind w:left="720" w:hanging="360"/>
      </w:pPr>
      <w:rPr>
        <w:rFonts w:ascii="Verdana" w:hAnsi="Verdana" w:hint="default"/>
        <w:color w:val="000000"/>
        <w:sz w:val="1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E5019D3"/>
    <w:multiLevelType w:val="hybridMultilevel"/>
    <w:tmpl w:val="25908252"/>
    <w:lvl w:ilvl="0" w:tplc="2258CA6C">
      <w:start w:val="1"/>
      <w:numFmt w:val="decimal"/>
      <w:lvlText w:val="%1."/>
      <w:lvlJc w:val="left"/>
      <w:pPr>
        <w:ind w:left="720" w:hanging="360"/>
      </w:pPr>
      <w:rPr>
        <w:rFonts w:ascii="Verdana" w:hAnsi="Verdana" w:hint="default"/>
        <w:color w:val="000000"/>
        <w:sz w:val="1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285"/>
    <w:rsid w:val="000D2285"/>
    <w:rsid w:val="000F7EB3"/>
    <w:rsid w:val="005466CE"/>
    <w:rsid w:val="00857B87"/>
    <w:rsid w:val="00E526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4F60"/>
  <w15:chartTrackingRefBased/>
  <w15:docId w15:val="{DF3640BD-C183-4219-9512-79BC8540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2285"/>
    <w:pPr>
      <w:spacing w:before="100" w:beforeAutospacing="1" w:after="142" w:line="288"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E526B8"/>
  </w:style>
  <w:style w:type="character" w:styleId="a4">
    <w:name w:val="Hyperlink"/>
    <w:basedOn w:val="a0"/>
    <w:uiPriority w:val="99"/>
    <w:semiHidden/>
    <w:unhideWhenUsed/>
    <w:rsid w:val="00E526B8"/>
    <w:rPr>
      <w:color w:val="0000FF"/>
      <w:u w:val="single"/>
    </w:rPr>
  </w:style>
  <w:style w:type="paragraph" w:styleId="a5">
    <w:name w:val="List Paragraph"/>
    <w:basedOn w:val="a"/>
    <w:uiPriority w:val="34"/>
    <w:qFormat/>
    <w:rsid w:val="00E526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638106">
      <w:bodyDiv w:val="1"/>
      <w:marLeft w:val="0"/>
      <w:marRight w:val="0"/>
      <w:marTop w:val="0"/>
      <w:marBottom w:val="0"/>
      <w:divBdr>
        <w:top w:val="none" w:sz="0" w:space="0" w:color="auto"/>
        <w:left w:val="none" w:sz="0" w:space="0" w:color="auto"/>
        <w:bottom w:val="none" w:sz="0" w:space="0" w:color="auto"/>
        <w:right w:val="none" w:sz="0" w:space="0" w:color="auto"/>
      </w:divBdr>
    </w:div>
    <w:div w:id="761687750">
      <w:bodyDiv w:val="1"/>
      <w:marLeft w:val="0"/>
      <w:marRight w:val="0"/>
      <w:marTop w:val="0"/>
      <w:marBottom w:val="0"/>
      <w:divBdr>
        <w:top w:val="none" w:sz="0" w:space="0" w:color="auto"/>
        <w:left w:val="none" w:sz="0" w:space="0" w:color="auto"/>
        <w:bottom w:val="none" w:sz="0" w:space="0" w:color="auto"/>
        <w:right w:val="none" w:sz="0" w:space="0" w:color="auto"/>
      </w:divBdr>
    </w:div>
    <w:div w:id="137261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3</Pages>
  <Words>7140</Words>
  <Characters>4071</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Valeriya Lukashenko</dc:creator>
  <cp:keywords/>
  <dc:description/>
  <cp:lastModifiedBy>Valeriya Lukashenko</cp:lastModifiedBy>
  <cp:revision>1</cp:revision>
  <dcterms:created xsi:type="dcterms:W3CDTF">2016-12-21T14:51:00Z</dcterms:created>
  <dcterms:modified xsi:type="dcterms:W3CDTF">2016-12-21T19:06:00Z</dcterms:modified>
</cp:coreProperties>
</file>