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81" w:rsidRPr="00FC7E98" w:rsidRDefault="007B7981" w:rsidP="00AA2554">
      <w:pPr>
        <w:spacing w:after="0" w:line="240" w:lineRule="auto"/>
        <w:jc w:val="both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</w:pPr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highlight w:val="yellow"/>
          <w:u w:val="single"/>
          <w:bdr w:val="none" w:sz="0" w:space="0" w:color="auto" w:frame="1"/>
          <w:lang w:val="uk-UA" w:eastAsia="ru-RU"/>
        </w:rPr>
        <w:t xml:space="preserve">Мистецтво Раннього Відродження (14-15 ст.)    Італії. Мистецтво Італії 15 </w:t>
      </w:r>
      <w:proofErr w:type="spellStart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highlight w:val="yellow"/>
          <w:u w:val="single"/>
          <w:bdr w:val="none" w:sz="0" w:space="0" w:color="auto" w:frame="1"/>
          <w:lang w:val="uk-UA" w:eastAsia="ru-RU"/>
        </w:rPr>
        <w:t>ст</w:t>
      </w:r>
      <w:proofErr w:type="spellEnd"/>
    </w:p>
    <w:p w:rsidR="007B7981" w:rsidRPr="00FC7E98" w:rsidRDefault="007B7981" w:rsidP="00AA2554">
      <w:pPr>
        <w:spacing w:after="0" w:line="240" w:lineRule="auto"/>
        <w:jc w:val="both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</w:pPr>
    </w:p>
    <w:p w:rsidR="007B7981" w:rsidRPr="00FC7E98" w:rsidRDefault="007B7981" w:rsidP="00AA2554">
      <w:pPr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          Це час виникнення і підйому багатьох територіальних художніх шкіл, активної взаємодії і боротьби різних напрямків. Але і в цих складних умовах чітко вимальовується магістральна лінія розвитку ренесансного мистецтва, представлена в першу чергу  майстрами Флоренції. З перших десятиліть 15 ст. Флоренція зайняла провідну позицію в галузі культури та образотворчого мистецтва.</w:t>
      </w:r>
    </w:p>
    <w:p w:rsidR="007B7981" w:rsidRPr="00FC7E98" w:rsidRDefault="007B7981" w:rsidP="00AA2554">
      <w:pPr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        Долаючи середньовічні традиції, великі флорентійські майстри здійснили революційну художню реформу, що спричинила стрімке становлення нового, реалістичного мистецтва. Флоренція 15 ст. стала вогнищем формування світського світосприймання.</w:t>
      </w:r>
    </w:p>
    <w:p w:rsidR="007B7981" w:rsidRPr="00FC7E98" w:rsidRDefault="007B7981" w:rsidP="00AA2554">
      <w:pPr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       </w:t>
      </w:r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</w:t>
      </w:r>
      <w:r w:rsidRPr="00FC7E98">
        <w:rPr>
          <w:rFonts w:ascii="Times New Roman" w:eastAsia="Times New Roman" w:hAnsi="Times New Roman" w:cs="Times New Roman"/>
          <w:b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>Архітектура.</w:t>
      </w:r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</w:t>
      </w: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Новий напрям в архітектурі Італії 15 ст. найшвидше проявився у Флоренції. У своєму виникненні він був пов’язаний не стільки з прямим відродженням античних принципів композиції та ордерної системи, скільки з синтетичною переробкою всієї спадщини середньовічної італійської архітектури, особливо романського стилю. (Кладка стін, застосування цегляних склепінь).</w:t>
      </w:r>
    </w:p>
    <w:p w:rsidR="007B7981" w:rsidRPr="00FC7E98" w:rsidRDefault="007B7981" w:rsidP="00AA2554">
      <w:pPr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        Суть відродження античності полягала в більшій мірі в освоєнні ордерної системи в якості школи нового архітектурного мислення, ніж у використанні її як зразка для прямого наслідування.</w:t>
      </w:r>
    </w:p>
    <w:p w:rsidR="007B7981" w:rsidRPr="00FC7E98" w:rsidRDefault="007B7981" w:rsidP="00AA2554">
      <w:pPr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        Родоначальником нового напряму став </w:t>
      </w:r>
      <w:proofErr w:type="spellStart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Філіпо</w:t>
      </w:r>
      <w:proofErr w:type="spellEnd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Брунелескі</w:t>
      </w:r>
      <w:proofErr w:type="spellEnd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.</w:t>
      </w: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 Першим з його найбільших творів був </w:t>
      </w:r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>купол</w:t>
      </w: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> </w:t>
      </w:r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собору </w:t>
      </w:r>
      <w:proofErr w:type="spellStart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>Санта</w:t>
      </w:r>
      <w:proofErr w:type="spellEnd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Марія </w:t>
      </w:r>
      <w:proofErr w:type="spellStart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>дель</w:t>
      </w:r>
      <w:proofErr w:type="spellEnd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u w:val="single"/>
          <w:bdr w:val="none" w:sz="0" w:space="0" w:color="auto" w:frame="1"/>
          <w:lang w:val="uk-UA" w:eastAsia="ru-RU"/>
        </w:rPr>
        <w:t>Фіоре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 xml:space="preserve">(Флоренція). Діаметр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бл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. </w:t>
      </w:r>
      <w:r w:rsidRPr="00FC7E98">
        <w:rPr>
          <w:rFonts w:ascii="Times New Roman" w:eastAsia="Times New Roman" w:hAnsi="Times New Roman" w:cs="Times New Roman"/>
          <w:bCs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42 м</w:t>
      </w:r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 xml:space="preserve">. Всі зусилля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>Брунелескі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pacing w:val="-7"/>
          <w:kern w:val="36"/>
          <w:sz w:val="24"/>
          <w:szCs w:val="24"/>
          <w:bdr w:val="none" w:sz="0" w:space="0" w:color="auto" w:frame="1"/>
          <w:lang w:val="uk-UA" w:eastAsia="ru-RU"/>
        </w:rPr>
        <w:t xml:space="preserve"> були спрямовані на максимальне полегшення ваги куполу і зменшення сили розпору.  В образі величавого купола втілилась ідея торжества розуму.</w:t>
      </w:r>
    </w:p>
    <w:p w:rsidR="007B7981" w:rsidRPr="00FC7E98" w:rsidRDefault="007B7981" w:rsidP="00AA2554">
      <w:pPr>
        <w:spacing w:line="240" w:lineRule="auto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 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Збудований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Брунелескі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–</w:t>
      </w:r>
      <w:r w:rsidRPr="00FC7E98">
        <w:rPr>
          <w:rStyle w:val="apple-converted-space"/>
          <w:rFonts w:ascii="Times New Roman" w:hAnsi="Times New Roman" w:cs="Times New Roman"/>
          <w:bCs/>
          <w:color w:val="000000" w:themeColor="text1"/>
          <w:spacing w:val="-7"/>
          <w:sz w:val="24"/>
          <w:szCs w:val="24"/>
          <w:shd w:val="clear" w:color="auto" w:fill="FFFFFF"/>
        </w:rPr>
        <w:t> </w:t>
      </w:r>
      <w:proofErr w:type="spellStart"/>
      <w:r w:rsidRPr="00FC7E98">
        <w:rPr>
          <w:rFonts w:ascii="Times New Roman" w:hAnsi="Times New Roman" w:cs="Times New Roman"/>
          <w:bCs/>
          <w:color w:val="000000" w:themeColor="text1"/>
          <w:spacing w:val="-7"/>
          <w:sz w:val="24"/>
          <w:szCs w:val="24"/>
          <w:u w:val="single"/>
          <w:shd w:val="clear" w:color="auto" w:fill="FFFFFF"/>
        </w:rPr>
        <w:t>Виховний</w:t>
      </w:r>
      <w:proofErr w:type="spellEnd"/>
      <w:r w:rsidRPr="00FC7E98">
        <w:rPr>
          <w:rFonts w:ascii="Times New Roman" w:hAnsi="Times New Roman" w:cs="Times New Roman"/>
          <w:bCs/>
          <w:color w:val="000000" w:themeColor="text1"/>
          <w:spacing w:val="-7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bCs/>
          <w:color w:val="000000" w:themeColor="text1"/>
          <w:spacing w:val="-7"/>
          <w:sz w:val="24"/>
          <w:szCs w:val="24"/>
          <w:u w:val="single"/>
          <w:shd w:val="clear" w:color="auto" w:fill="FFFFFF"/>
        </w:rPr>
        <w:t>будинок</w:t>
      </w:r>
      <w:proofErr w:type="spellEnd"/>
      <w:r w:rsidRPr="00FC7E98">
        <w:rPr>
          <w:rStyle w:val="apple-converted-space"/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 </w:t>
      </w:r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–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новий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тип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громадської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будівлі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.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Найважливішою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рисою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просторовій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композиції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став принцип “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відкритого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плану”, за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якого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споруда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включає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в</w:t>
      </w:r>
      <w:proofErr w:type="gram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себе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елементи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>оточення</w:t>
      </w:r>
      <w:proofErr w:type="spellEnd"/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</w:rPr>
        <w:t xml:space="preserve">. </w:t>
      </w:r>
      <w:r w:rsidRPr="00FC7E98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shd w:val="clear" w:color="auto" w:fill="FFFFFF"/>
          <w:lang w:val="uk-UA"/>
        </w:rPr>
        <w:t xml:space="preserve"> 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Pr="00FC7E98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Будівлям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Брунелескі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властива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легкість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пропорцій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,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особлива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гармонія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і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 пластична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виразність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>.</w:t>
      </w:r>
    </w:p>
    <w:p w:rsidR="007B7981" w:rsidRPr="00FC7E98" w:rsidRDefault="007B7981" w:rsidP="00AA2554">
      <w:pPr>
        <w:spacing w:after="195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val="uk-UA"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uk-UA" w:eastAsia="ru-RU"/>
        </w:rPr>
        <w:t>         Однією з найважливіших проблем італійської архітектури 15 ст. стала розробка принципів спорудження </w:t>
      </w: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u w:val="single"/>
          <w:lang w:val="uk-UA" w:eastAsia="ru-RU"/>
        </w:rPr>
        <w:t>палаццо</w:t>
      </w: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uk-UA" w:eastAsia="ru-RU"/>
        </w:rPr>
        <w:t> (житлового будинку багатого городянина). Створюється тип будівлі, прямокутної в плані, з єдиним замкнутим об’ємом, з великою кількістю приміщень, розміщених навколо внутрішнього подвір’я.</w:t>
      </w:r>
    </w:p>
    <w:p w:rsidR="007B7981" w:rsidRPr="00FC7E98" w:rsidRDefault="007B7981" w:rsidP="00AA2554">
      <w:pPr>
        <w:spacing w:after="195" w:line="240" w:lineRule="auto"/>
        <w:textAlignment w:val="top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uk-UA" w:eastAsia="ru-RU"/>
        </w:rPr>
        <w:t>         Наступним етапом в розвитку ренесансної архітектури була творчість </w:t>
      </w: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u w:val="single"/>
          <w:lang w:val="uk-UA" w:eastAsia="ru-RU"/>
        </w:rPr>
        <w:t xml:space="preserve">Леона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u w:val="single"/>
          <w:lang w:val="uk-UA" w:eastAsia="ru-RU"/>
        </w:rPr>
        <w:t>Батіста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u w:val="single"/>
          <w:lang w:val="uk-UA" w:eastAsia="ru-RU"/>
        </w:rPr>
        <w:t xml:space="preserve"> Альберті.</w:t>
      </w: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uk-UA" w:eastAsia="ru-RU"/>
        </w:rPr>
        <w:t> У спроектованому ним </w:t>
      </w: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u w:val="single"/>
          <w:lang w:val="uk-UA" w:eastAsia="ru-RU"/>
        </w:rPr>
        <w:t>палаццо Руччелаї</w:t>
      </w:r>
      <w:r w:rsidRPr="00FC7E98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val="uk-UA" w:eastAsia="ru-RU"/>
        </w:rPr>
        <w:t> у Флоренції, 3-поверховій будівлі, Альберті вводить систему пілястр, які по поверхах розчленять стіну. Загальна ордерна система фасаду потягнула за собою переробку середньовічних архітектурних деталей.</w:t>
      </w: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</w:pP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Одна з головних культових споруд Альберті –</w:t>
      </w:r>
      <w:r w:rsidRPr="00FC7E98">
        <w:rPr>
          <w:rStyle w:val="apple-converted-space"/>
          <w:b w:val="0"/>
          <w:bCs w:val="0"/>
          <w:color w:val="000000" w:themeColor="text1"/>
          <w:sz w:val="24"/>
          <w:szCs w:val="24"/>
          <w:lang w:val="uk-UA"/>
        </w:rPr>
        <w:t> </w:t>
      </w:r>
      <w:r w:rsidRPr="00FC7E98"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  <w:t xml:space="preserve">церква Сан </w:t>
      </w:r>
      <w:proofErr w:type="spellStart"/>
      <w:r w:rsidRPr="00FC7E98"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  <w:t>Франческо</w:t>
      </w:r>
      <w:proofErr w:type="spellEnd"/>
      <w:r w:rsidRPr="00FC7E98"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  <w:t xml:space="preserve"> в Рюміні.</w:t>
      </w: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color w:val="000000" w:themeColor="text1"/>
          <w:sz w:val="24"/>
          <w:szCs w:val="24"/>
        </w:rPr>
      </w:pPr>
      <w:r w:rsidRPr="00FC7E98">
        <w:rPr>
          <w:bCs w:val="0"/>
          <w:color w:val="000000" w:themeColor="text1"/>
          <w:sz w:val="24"/>
          <w:szCs w:val="24"/>
          <w:u w:val="single"/>
          <w:lang w:val="uk-UA"/>
        </w:rPr>
        <w:t>СКУЛЬПТУРА</w:t>
      </w: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b w:val="0"/>
          <w:bCs w:val="0"/>
          <w:color w:val="000000" w:themeColor="text1"/>
          <w:sz w:val="24"/>
          <w:szCs w:val="24"/>
        </w:rPr>
      </w:pP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       </w:t>
      </w:r>
      <w:r w:rsidRPr="00FC7E98">
        <w:rPr>
          <w:rStyle w:val="apple-converted-space"/>
          <w:b w:val="0"/>
          <w:bCs w:val="0"/>
          <w:color w:val="000000" w:themeColor="text1"/>
          <w:sz w:val="24"/>
          <w:szCs w:val="24"/>
          <w:lang w:val="uk-UA"/>
        </w:rPr>
        <w:t> </w:t>
      </w: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 </w:t>
      </w:r>
      <w:r w:rsidRPr="00FC7E98">
        <w:rPr>
          <w:b w:val="0"/>
          <w:color w:val="000000" w:themeColor="text1"/>
          <w:sz w:val="24"/>
          <w:szCs w:val="24"/>
          <w:u w:val="single"/>
          <w:lang w:val="uk-UA"/>
        </w:rPr>
        <w:t>Скульптура</w:t>
      </w:r>
      <w:r w:rsidRPr="00FC7E98">
        <w:rPr>
          <w:rStyle w:val="apple-converted-space"/>
          <w:b w:val="0"/>
          <w:color w:val="000000" w:themeColor="text1"/>
          <w:sz w:val="24"/>
          <w:szCs w:val="24"/>
          <w:lang w:val="uk-UA"/>
        </w:rPr>
        <w:t> </w:t>
      </w: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епохи Відродження знову набуває самостійного значення. Як рівноправний компонент вона входить в архітектурні ансамблі, не підпорядковуючись архітектурі. Звільняючись від релігійно-міфічного змісту, вона звертається до життя, до людини. Розвивається жанр портрета, створюються кінні статуї. Успіхи скульптури були значнішими, ніж живопису. Цей факт пов’язаний з тією великою роллю, яку скульптура відігравала в середньовіччі.</w:t>
      </w: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b w:val="0"/>
          <w:bCs w:val="0"/>
          <w:color w:val="000000" w:themeColor="text1"/>
          <w:sz w:val="24"/>
          <w:szCs w:val="24"/>
          <w:lang w:val="uk-UA"/>
        </w:rPr>
      </w:pP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         Справжнім реформатором скульптури став</w:t>
      </w:r>
      <w:r w:rsidRPr="00FC7E98">
        <w:rPr>
          <w:rStyle w:val="apple-converted-space"/>
          <w:b w:val="0"/>
          <w:bCs w:val="0"/>
          <w:color w:val="000000" w:themeColor="text1"/>
          <w:sz w:val="24"/>
          <w:szCs w:val="24"/>
          <w:lang w:val="uk-UA"/>
        </w:rPr>
        <w:t> </w:t>
      </w:r>
      <w:proofErr w:type="spellStart"/>
      <w:r w:rsidRPr="00FC7E98">
        <w:rPr>
          <w:b w:val="0"/>
          <w:color w:val="000000" w:themeColor="text1"/>
          <w:sz w:val="24"/>
          <w:szCs w:val="24"/>
          <w:lang w:val="uk-UA"/>
        </w:rPr>
        <w:t>Донателло</w:t>
      </w:r>
      <w:proofErr w:type="spellEnd"/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 xml:space="preserve"> , який входить до числа основоположників ренесансного мистецтва Італії. Його ранні твори носять відбиток готичних впливів, пізніше створює гостро індивідуальні образи, підкреслює виразність навіть в неправильних рисах. Його  талант проявився в скульптурах, що прикрашають</w:t>
      </w:r>
      <w:r w:rsidRPr="00FC7E98">
        <w:rPr>
          <w:rStyle w:val="apple-converted-space"/>
          <w:b w:val="0"/>
          <w:bCs w:val="0"/>
          <w:color w:val="000000" w:themeColor="text1"/>
          <w:sz w:val="24"/>
          <w:szCs w:val="24"/>
          <w:lang w:val="uk-UA"/>
        </w:rPr>
        <w:t> </w:t>
      </w:r>
      <w:r w:rsidRPr="00FC7E98"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  <w:t>церкву Ор-Сан-Мікеле</w:t>
      </w:r>
      <w:r w:rsidRPr="00FC7E98">
        <w:rPr>
          <w:rStyle w:val="apple-converted-space"/>
          <w:b w:val="0"/>
          <w:bCs w:val="0"/>
          <w:color w:val="000000" w:themeColor="text1"/>
          <w:sz w:val="24"/>
          <w:szCs w:val="24"/>
          <w:u w:val="single"/>
          <w:lang w:val="uk-UA"/>
        </w:rPr>
        <w:t> </w:t>
      </w: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 xml:space="preserve">у Флоренції (наприклад, статуя св. Георгія). Більш </w:t>
      </w: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lastRenderedPageBreak/>
        <w:t>характерні та індивідуальні статуї пророків, виконані для дзвіниці Флорентійського собору.</w:t>
      </w: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rFonts w:eastAsiaTheme="minorHAnsi"/>
          <w:b w:val="0"/>
          <w:bCs w:val="0"/>
          <w:color w:val="000000" w:themeColor="text1"/>
          <w:kern w:val="0"/>
          <w:sz w:val="24"/>
          <w:szCs w:val="24"/>
          <w:u w:val="single"/>
          <w:shd w:val="clear" w:color="auto" w:fill="FFFFFF"/>
          <w:lang w:val="uk-UA" w:eastAsia="en-US"/>
        </w:rPr>
      </w:pP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         Торжество ідеалів ренесансної скульптури знаменує перша оголена статуя в італійській пластиці Відродження –</w:t>
      </w:r>
      <w:r w:rsidRPr="00FC7E98">
        <w:rPr>
          <w:rStyle w:val="apple-converted-space"/>
          <w:b w:val="0"/>
          <w:bCs w:val="0"/>
          <w:color w:val="000000" w:themeColor="text1"/>
          <w:sz w:val="24"/>
          <w:szCs w:val="24"/>
          <w:lang w:val="uk-UA"/>
        </w:rPr>
        <w:t> </w:t>
      </w:r>
      <w:r w:rsidRPr="00FC7E98"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  <w:t>“</w:t>
      </w:r>
      <w:r w:rsidRPr="00FC7E98">
        <w:rPr>
          <w:b w:val="0"/>
          <w:color w:val="000000" w:themeColor="text1"/>
          <w:sz w:val="24"/>
          <w:szCs w:val="24"/>
          <w:u w:val="single"/>
          <w:lang w:val="uk-UA"/>
        </w:rPr>
        <w:t>Давид</w:t>
      </w:r>
      <w:r w:rsidRPr="00FC7E98">
        <w:rPr>
          <w:b w:val="0"/>
          <w:bCs w:val="0"/>
          <w:color w:val="000000" w:themeColor="text1"/>
          <w:sz w:val="24"/>
          <w:szCs w:val="24"/>
          <w:u w:val="single"/>
          <w:lang w:val="uk-UA"/>
        </w:rPr>
        <w:t>”</w:t>
      </w:r>
      <w:r w:rsidRPr="00FC7E98">
        <w:rPr>
          <w:b w:val="0"/>
          <w:bCs w:val="0"/>
          <w:color w:val="000000" w:themeColor="text1"/>
          <w:sz w:val="24"/>
          <w:szCs w:val="24"/>
          <w:lang w:val="uk-UA"/>
        </w:rPr>
        <w:t>. Ця бронзова статуя, встановлена у внутрішньому подвір’ї палаццо Медичі.</w:t>
      </w:r>
      <w:r w:rsidRPr="00FC7E98">
        <w:rPr>
          <w:rFonts w:eastAsiaTheme="minorHAnsi"/>
          <w:b w:val="0"/>
          <w:bCs w:val="0"/>
          <w:color w:val="000000" w:themeColor="text1"/>
          <w:kern w:val="0"/>
          <w:sz w:val="24"/>
          <w:szCs w:val="24"/>
          <w:u w:val="single"/>
          <w:shd w:val="clear" w:color="auto" w:fill="FFFFFF"/>
          <w:lang w:val="uk-UA" w:eastAsia="en-US"/>
        </w:rPr>
        <w:t xml:space="preserve">  </w:t>
      </w:r>
    </w:p>
    <w:p w:rsidR="00B66F39" w:rsidRPr="00FC7E98" w:rsidRDefault="00B66F39" w:rsidP="00AA2554">
      <w:pPr>
        <w:pStyle w:val="1"/>
        <w:spacing w:before="0" w:beforeAutospacing="0" w:after="195" w:afterAutospacing="0"/>
        <w:textAlignment w:val="top"/>
        <w:rPr>
          <w:b w:val="0"/>
          <w:color w:val="000000" w:themeColor="text1"/>
          <w:sz w:val="24"/>
          <w:szCs w:val="24"/>
          <w:lang w:val="uk-UA"/>
        </w:rPr>
      </w:pP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color w:val="000000" w:themeColor="text1"/>
          <w:sz w:val="24"/>
          <w:szCs w:val="24"/>
          <w:u w:val="single"/>
          <w:lang w:val="uk-UA"/>
        </w:rPr>
      </w:pPr>
      <w:r w:rsidRPr="00FC7E98">
        <w:rPr>
          <w:b w:val="0"/>
          <w:color w:val="000000" w:themeColor="text1"/>
          <w:sz w:val="24"/>
          <w:szCs w:val="24"/>
          <w:lang w:val="uk-UA"/>
        </w:rPr>
        <w:t> </w:t>
      </w:r>
      <w:r w:rsidRPr="00FC7E98">
        <w:rPr>
          <w:color w:val="000000" w:themeColor="text1"/>
          <w:sz w:val="24"/>
          <w:szCs w:val="24"/>
          <w:u w:val="single"/>
          <w:lang w:val="uk-UA"/>
        </w:rPr>
        <w:t>Живопис.</w:t>
      </w:r>
    </w:p>
    <w:p w:rsidR="007B7981" w:rsidRPr="00FC7E98" w:rsidRDefault="007B7981" w:rsidP="00AA2554">
      <w:pPr>
        <w:pStyle w:val="1"/>
        <w:spacing w:before="0" w:beforeAutospacing="0" w:after="195" w:afterAutospacing="0"/>
        <w:textAlignment w:val="top"/>
        <w:rPr>
          <w:b w:val="0"/>
          <w:color w:val="000000" w:themeColor="text1"/>
          <w:sz w:val="24"/>
          <w:szCs w:val="24"/>
          <w:lang w:val="uk-UA"/>
        </w:rPr>
      </w:pPr>
      <w:r w:rsidRPr="00FC7E98">
        <w:rPr>
          <w:b w:val="0"/>
          <w:color w:val="000000" w:themeColor="text1"/>
          <w:sz w:val="24"/>
          <w:szCs w:val="24"/>
          <w:lang w:val="uk-UA"/>
        </w:rPr>
        <w:t> Ту ж еволюцію, що й скульптура, проходить живопис Раннього Відродження.  Його реформатором був флорентієць </w:t>
      </w:r>
      <w:proofErr w:type="spellStart"/>
      <w:r w:rsidRPr="00FC7E98">
        <w:rPr>
          <w:b w:val="0"/>
          <w:color w:val="000000" w:themeColor="text1"/>
          <w:sz w:val="24"/>
          <w:szCs w:val="24"/>
          <w:lang w:val="uk-UA"/>
        </w:rPr>
        <w:t>Мазаччо</w:t>
      </w:r>
      <w:proofErr w:type="spellEnd"/>
      <w:r w:rsidRPr="00FC7E98">
        <w:rPr>
          <w:b w:val="0"/>
          <w:color w:val="000000" w:themeColor="text1"/>
          <w:sz w:val="24"/>
          <w:szCs w:val="24"/>
          <w:lang w:val="uk-UA"/>
        </w:rPr>
        <w:t xml:space="preserve">. Головною монументальною роботою </w:t>
      </w:r>
      <w:proofErr w:type="spellStart"/>
      <w:r w:rsidRPr="00FC7E98">
        <w:rPr>
          <w:b w:val="0"/>
          <w:color w:val="000000" w:themeColor="text1"/>
          <w:sz w:val="24"/>
          <w:szCs w:val="24"/>
          <w:lang w:val="uk-UA"/>
        </w:rPr>
        <w:t>Мазаччо</w:t>
      </w:r>
      <w:proofErr w:type="spellEnd"/>
      <w:r w:rsidRPr="00FC7E98">
        <w:rPr>
          <w:b w:val="0"/>
          <w:color w:val="000000" w:themeColor="text1"/>
          <w:sz w:val="24"/>
          <w:szCs w:val="24"/>
          <w:lang w:val="uk-UA"/>
        </w:rPr>
        <w:t xml:space="preserve"> стали фрески в </w:t>
      </w:r>
      <w:proofErr w:type="spellStart"/>
      <w:r w:rsidRPr="00FC7E98">
        <w:rPr>
          <w:b w:val="0"/>
          <w:color w:val="000000" w:themeColor="text1"/>
          <w:sz w:val="24"/>
          <w:szCs w:val="24"/>
          <w:u w:val="single"/>
          <w:lang w:val="uk-UA"/>
        </w:rPr>
        <w:t>капеллі</w:t>
      </w:r>
      <w:proofErr w:type="spellEnd"/>
      <w:r w:rsidRPr="00FC7E98">
        <w:rPr>
          <w:b w:val="0"/>
          <w:color w:val="000000" w:themeColor="text1"/>
          <w:sz w:val="24"/>
          <w:szCs w:val="24"/>
          <w:u w:val="single"/>
          <w:lang w:val="uk-UA"/>
        </w:rPr>
        <w:t xml:space="preserve"> </w:t>
      </w:r>
      <w:proofErr w:type="spellStart"/>
      <w:r w:rsidRPr="00FC7E98">
        <w:rPr>
          <w:b w:val="0"/>
          <w:color w:val="000000" w:themeColor="text1"/>
          <w:sz w:val="24"/>
          <w:szCs w:val="24"/>
          <w:u w:val="single"/>
          <w:lang w:val="uk-UA"/>
        </w:rPr>
        <w:t>Бранкаччі</w:t>
      </w:r>
      <w:proofErr w:type="spellEnd"/>
      <w:r w:rsidRPr="00FC7E98">
        <w:rPr>
          <w:b w:val="0"/>
          <w:color w:val="000000" w:themeColor="text1"/>
          <w:sz w:val="24"/>
          <w:szCs w:val="24"/>
          <w:u w:val="single"/>
          <w:lang w:val="uk-UA"/>
        </w:rPr>
        <w:t> </w:t>
      </w:r>
      <w:r w:rsidRPr="00FC7E98">
        <w:rPr>
          <w:b w:val="0"/>
          <w:color w:val="000000" w:themeColor="text1"/>
          <w:sz w:val="24"/>
          <w:szCs w:val="24"/>
          <w:lang w:val="uk-UA"/>
        </w:rPr>
        <w:t xml:space="preserve">(Флоренція).  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Можна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сказати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що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Мазаччо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вирішив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ті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насущнейшие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проблеми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живописного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мистецтва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як</w:t>
      </w:r>
      <w:proofErr w:type="gram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поставив за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століття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до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цього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Джотто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. Уже в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двох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головних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сценах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розпису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капелі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Бранкаччи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флорентійської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церкви Санта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Марія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дель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Карміне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- «Подати» </w:t>
      </w:r>
      <w:r w:rsidR="005D1B89" w:rsidRPr="00FC7E98">
        <w:rPr>
          <w:b w:val="0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та «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Вигнання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Адама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Є</w:t>
      </w:r>
      <w:proofErr w:type="gram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ви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з</w:t>
      </w:r>
      <w:proofErr w:type="gram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раю» - Мазаччо показав себе художником, для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якого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було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ясно, як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поміщати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фігури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просторі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, як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пов'язувати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їх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між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собою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з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пейзажем,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які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закони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анатомії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людського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тіла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Сцени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Мазаччо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сповнені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драматизму,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життєвої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правди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: «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Вигнання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з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раю» Адам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від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сорому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закрив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>обличчя</w:t>
      </w:r>
      <w:proofErr w:type="spellEnd"/>
      <w:r w:rsidR="00B66F39" w:rsidRPr="00FC7E98">
        <w:rPr>
          <w:b w:val="0"/>
          <w:color w:val="000000" w:themeColor="text1"/>
          <w:sz w:val="24"/>
          <w:szCs w:val="24"/>
          <w:shd w:val="clear" w:color="auto" w:fill="FFFFFF"/>
        </w:rPr>
        <w:t xml:space="preserve"> руками.</w:t>
      </w:r>
      <w:r w:rsidR="00B66F39" w:rsidRPr="00FC7E98">
        <w:rPr>
          <w:rStyle w:val="apple-converted-space"/>
          <w:color w:val="000000" w:themeColor="text1"/>
          <w:sz w:val="24"/>
          <w:szCs w:val="24"/>
          <w:shd w:val="clear" w:color="auto" w:fill="FFFFFF"/>
        </w:rPr>
        <w:t> </w:t>
      </w:r>
      <w:r w:rsidR="005D1B89" w:rsidRPr="00FC7E98">
        <w:rPr>
          <w:b w:val="0"/>
          <w:color w:val="000000" w:themeColor="text1"/>
          <w:sz w:val="24"/>
          <w:szCs w:val="24"/>
          <w:lang w:val="uk-UA"/>
        </w:rPr>
        <w:t xml:space="preserve"> </w:t>
      </w:r>
    </w:p>
    <w:p w:rsidR="007B7981" w:rsidRPr="00FC7E98" w:rsidRDefault="007B7981" w:rsidP="00AA255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C7E9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br/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     Найзначнішою фрескою капели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Бранкаччі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є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“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uk-UA"/>
        </w:rPr>
        <w:t>Чудо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uk-UA"/>
        </w:rPr>
        <w:t xml:space="preserve"> зі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uk-UA"/>
        </w:rPr>
        <w:t>статиром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”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  Фігури масивні, величаві, обличчя індивідуальні.</w:t>
      </w:r>
      <w:r w:rsidRPr="00FC7E98">
        <w:rPr>
          <w:rStyle w:val="10"/>
          <w:rFonts w:eastAsiaTheme="minorHAnsi"/>
          <w:b w:val="0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Pr="00FC7E98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 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Не менш реалістичне трактування сцени “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uk-UA"/>
        </w:rPr>
        <w:t>Вигнання з раю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”.  </w:t>
      </w: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Серед видатних художників Раннього Відродження – 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Паоло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Учелло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,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фра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Беато Анжеліко,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Доменіко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Гірландайо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, Сандро Ботічеллі.</w:t>
      </w:r>
    </w:p>
    <w:p w:rsidR="00B66F39" w:rsidRPr="00FC7E98" w:rsidRDefault="007B7981" w:rsidP="00AA25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         </w:t>
      </w: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br/>
      </w:r>
      <w:r w:rsidRPr="00FC7E9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uk-UA" w:eastAsia="ru-RU"/>
        </w:rPr>
        <w:t>    Боттічеллі</w:t>
      </w: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 – один з найемоційніших і </w:t>
      </w:r>
      <w:proofErr w:type="spellStart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найліричніших</w:t>
      </w:r>
      <w:proofErr w:type="spellEnd"/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художників Відродження.    </w:t>
      </w: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> </w:t>
      </w: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br/>
      </w:r>
      <w:r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uk-UA" w:eastAsia="ru-RU"/>
        </w:rPr>
        <w:t xml:space="preserve"> «Весна », «Народження Венери» - це його найвідоміші картини. </w:t>
      </w:r>
      <w:r w:rsidR="00B66F39" w:rsidRPr="00FC7E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</w:p>
    <w:p w:rsidR="00B66F39" w:rsidRPr="00FC7E98" w:rsidRDefault="00B66F39" w:rsidP="00AA255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uk-UA"/>
        </w:rPr>
      </w:pPr>
    </w:p>
    <w:p w:rsidR="00B66F39" w:rsidRPr="00FC7E98" w:rsidRDefault="00B66F39" w:rsidP="00AA2554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uk-UA"/>
        </w:rPr>
      </w:pPr>
      <w:r w:rsidRPr="00FC7E9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uk-UA"/>
        </w:rPr>
        <w:t xml:space="preserve">Високий ренесанс у Італії. (кінець 15 </w:t>
      </w:r>
      <w:proofErr w:type="spellStart"/>
      <w:r w:rsidRPr="00FC7E9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uk-UA"/>
        </w:rPr>
        <w:t>ст</w:t>
      </w:r>
      <w:proofErr w:type="spellEnd"/>
      <w:r w:rsidRPr="00FC7E9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uk-UA"/>
        </w:rPr>
        <w:t>)</w:t>
      </w:r>
    </w:p>
    <w:p w:rsidR="00B66F39" w:rsidRPr="00FC7E98" w:rsidRDefault="007B7981" w:rsidP="00AA255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З кінця 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XV</w:t>
      </w:r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ст. Італія починає відчувати усі наслідки не вигідної для неї економічного суперництва з Португалією, Іспанією і Нідерландами. </w:t>
      </w:r>
      <w:proofErr w:type="spellStart"/>
      <w:proofErr w:type="gram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івнічні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міста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Європи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організують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ряд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воєнних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походів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розрізнену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Італію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що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втрачає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свою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могутність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У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цей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важкий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для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час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настає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недовгий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Золотий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вік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»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італійського</w:t>
      </w:r>
      <w:proofErr w:type="spellEnd"/>
      <w:proofErr w:type="gram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</w:t>
      </w:r>
      <w:proofErr w:type="gram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ідродження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—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Високий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ренесанс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B66F39" w:rsidRPr="00FC7E9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:rsidR="007B7981" w:rsidRPr="00FC7E98" w:rsidRDefault="007B7981" w:rsidP="00AA2554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Мистецтво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цього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часу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було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осяяне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ідеями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гуманізма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вірою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творчі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сили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людини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безмежність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її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можливостей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розумний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устрій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</w:t>
      </w:r>
      <w:proofErr w:type="gram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іту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в торжество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прогресу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мистецтві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 перший на перший план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висовуються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проблеми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громадянського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обов'язку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високих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моральних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якостей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подвигу, образу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прекрасної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гармонійно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розвинутої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сильної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духом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тілом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людини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— героя,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що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зміг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іднятися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над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рівнем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повсякденності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Пошук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такого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ідеалу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призвів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мистецтво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 синтезу,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узагальнення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до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розкриття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загальних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закономірностей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явищ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до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виявлення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її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логічної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взаємодії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Мистецтво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Високого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Ренесансу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відмовляється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частковостей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незначних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подробиць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</w:t>
      </w:r>
      <w:proofErr w:type="gram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м'я</w:t>
      </w:r>
      <w:proofErr w:type="spellEnd"/>
      <w:proofErr w:type="gram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узагальненого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образу, в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ім'я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відображення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гармонійного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синтезу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прекрасних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сторі</w:t>
      </w:r>
      <w:bookmarkStart w:id="0" w:name="_GoBack"/>
      <w:bookmarkEnd w:id="0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життя</w:t>
      </w:r>
      <w:proofErr w:type="spellEnd"/>
      <w:r w:rsidRPr="00FC7E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sectPr w:rsidR="007B7981" w:rsidRPr="00FC7E98" w:rsidSect="00C74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11F" w:rsidRDefault="00D9311F" w:rsidP="007B7981">
      <w:pPr>
        <w:spacing w:after="0" w:line="240" w:lineRule="auto"/>
      </w:pPr>
      <w:r>
        <w:separator/>
      </w:r>
    </w:p>
  </w:endnote>
  <w:endnote w:type="continuationSeparator" w:id="0">
    <w:p w:rsidR="00D9311F" w:rsidRDefault="00D9311F" w:rsidP="007B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11F" w:rsidRDefault="00D9311F" w:rsidP="007B7981">
      <w:pPr>
        <w:spacing w:after="0" w:line="240" w:lineRule="auto"/>
      </w:pPr>
      <w:r>
        <w:separator/>
      </w:r>
    </w:p>
  </w:footnote>
  <w:footnote w:type="continuationSeparator" w:id="0">
    <w:p w:rsidR="00D9311F" w:rsidRDefault="00D9311F" w:rsidP="007B7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7981"/>
    <w:rsid w:val="005D1B89"/>
    <w:rsid w:val="007B7981"/>
    <w:rsid w:val="008B7B63"/>
    <w:rsid w:val="00AA2554"/>
    <w:rsid w:val="00B66F39"/>
    <w:rsid w:val="00C74DF7"/>
    <w:rsid w:val="00D9311F"/>
    <w:rsid w:val="00FC7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DF7"/>
  </w:style>
  <w:style w:type="paragraph" w:styleId="1">
    <w:name w:val="heading 1"/>
    <w:basedOn w:val="a"/>
    <w:link w:val="10"/>
    <w:uiPriority w:val="9"/>
    <w:qFormat/>
    <w:rsid w:val="007B79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9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B7981"/>
  </w:style>
  <w:style w:type="paragraph" w:styleId="a3">
    <w:name w:val="header"/>
    <w:basedOn w:val="a"/>
    <w:link w:val="a4"/>
    <w:uiPriority w:val="99"/>
    <w:unhideWhenUsed/>
    <w:rsid w:val="007B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981"/>
  </w:style>
  <w:style w:type="paragraph" w:styleId="a5">
    <w:name w:val="footer"/>
    <w:basedOn w:val="a"/>
    <w:link w:val="a6"/>
    <w:uiPriority w:val="99"/>
    <w:unhideWhenUsed/>
    <w:rsid w:val="007B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79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B79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9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B7981"/>
  </w:style>
  <w:style w:type="paragraph" w:styleId="a3">
    <w:name w:val="header"/>
    <w:basedOn w:val="a"/>
    <w:link w:val="a4"/>
    <w:uiPriority w:val="99"/>
    <w:unhideWhenUsed/>
    <w:rsid w:val="007B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7981"/>
  </w:style>
  <w:style w:type="paragraph" w:styleId="a5">
    <w:name w:val="footer"/>
    <w:basedOn w:val="a"/>
    <w:link w:val="a6"/>
    <w:uiPriority w:val="99"/>
    <w:unhideWhenUsed/>
    <w:rsid w:val="007B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79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0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3891</Words>
  <Characters>2218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Настя</cp:lastModifiedBy>
  <cp:revision>3</cp:revision>
  <dcterms:created xsi:type="dcterms:W3CDTF">2017-01-17T10:55:00Z</dcterms:created>
  <dcterms:modified xsi:type="dcterms:W3CDTF">2017-01-17T18:49:00Z</dcterms:modified>
</cp:coreProperties>
</file>