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 w:val="32"/>
          <w:szCs w:val="32"/>
          <w:lang w:val="uk-UA"/>
        </w:rPr>
      </w:pPr>
      <w:r w:rsidRPr="00ED469D">
        <w:rPr>
          <w:rFonts w:cs="Times New Roman"/>
          <w:sz w:val="32"/>
          <w:szCs w:val="32"/>
          <w:lang w:val="uk-UA"/>
        </w:rPr>
        <w:t>Київський національний університет імені Тараса Шевченка</w:t>
      </w:r>
    </w:p>
    <w:p w:rsidR="00625C58" w:rsidRPr="00660579" w:rsidRDefault="00625C58" w:rsidP="00625C58">
      <w:pPr>
        <w:spacing w:line="240" w:lineRule="auto"/>
        <w:contextualSpacing/>
        <w:jc w:val="center"/>
        <w:rPr>
          <w:rFonts w:cs="Times New Roman"/>
          <w:szCs w:val="28"/>
        </w:rPr>
      </w:pPr>
      <w:r w:rsidRPr="00ED469D">
        <w:rPr>
          <w:rFonts w:cs="Times New Roman"/>
          <w:szCs w:val="28"/>
          <w:lang w:val="uk-UA"/>
        </w:rPr>
        <w:t xml:space="preserve">Факультет радіофізики, електроніки та </w:t>
      </w:r>
      <w:proofErr w:type="spellStart"/>
      <w:r w:rsidRPr="00ED469D">
        <w:rPr>
          <w:rFonts w:cs="Times New Roman"/>
          <w:szCs w:val="28"/>
          <w:lang w:val="uk-UA"/>
        </w:rPr>
        <w:t>комп’</w:t>
      </w:r>
      <w:r w:rsidRPr="00660579">
        <w:rPr>
          <w:rFonts w:cs="Times New Roman"/>
          <w:szCs w:val="28"/>
        </w:rPr>
        <w:t>ютерних</w:t>
      </w:r>
      <w:proofErr w:type="spellEnd"/>
      <w:r w:rsidRPr="00660579">
        <w:rPr>
          <w:rFonts w:cs="Times New Roman"/>
          <w:szCs w:val="28"/>
        </w:rPr>
        <w:t xml:space="preserve"> систем</w:t>
      </w: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 w:val="40"/>
          <w:szCs w:val="40"/>
          <w:lang w:val="uk-UA"/>
        </w:rPr>
      </w:pPr>
      <w:r w:rsidRPr="00ED469D">
        <w:rPr>
          <w:rFonts w:cs="Times New Roman"/>
          <w:sz w:val="40"/>
          <w:szCs w:val="40"/>
          <w:lang w:val="uk-UA"/>
        </w:rPr>
        <w:t>Звіт</w:t>
      </w:r>
    </w:p>
    <w:p w:rsidR="00625C58" w:rsidRPr="00ED469D" w:rsidRDefault="00625C58" w:rsidP="00625C58">
      <w:pPr>
        <w:spacing w:line="240" w:lineRule="auto"/>
        <w:ind w:left="3240"/>
        <w:contextualSpacing/>
        <w:rPr>
          <w:rFonts w:cs="Times New Roman"/>
          <w:sz w:val="40"/>
          <w:szCs w:val="40"/>
          <w:lang w:val="uk-UA"/>
        </w:rPr>
      </w:pPr>
      <w:r w:rsidRPr="00ED469D">
        <w:rPr>
          <w:rFonts w:cs="Times New Roman"/>
          <w:sz w:val="40"/>
          <w:szCs w:val="40"/>
          <w:lang w:val="uk-UA"/>
        </w:rPr>
        <w:t>по лабораторній роботі</w:t>
      </w:r>
    </w:p>
    <w:p w:rsidR="00625C58" w:rsidRPr="00ED469D" w:rsidRDefault="00625C58" w:rsidP="00625C58">
      <w:pPr>
        <w:spacing w:line="240" w:lineRule="auto"/>
        <w:ind w:left="3240"/>
        <w:contextualSpacing/>
        <w:rPr>
          <w:rFonts w:cs="Times New Roman"/>
          <w:sz w:val="40"/>
          <w:szCs w:val="40"/>
          <w:lang w:val="uk-UA"/>
        </w:rPr>
      </w:pPr>
      <w:r w:rsidRPr="00ED469D">
        <w:rPr>
          <w:rFonts w:cs="Times New Roman"/>
          <w:sz w:val="40"/>
          <w:szCs w:val="40"/>
          <w:lang w:val="uk-UA"/>
        </w:rPr>
        <w:t>з курсу «Кріогенна електроніка»</w:t>
      </w:r>
    </w:p>
    <w:p w:rsidR="00625C58" w:rsidRPr="00ED469D" w:rsidRDefault="00625C58" w:rsidP="00625C58">
      <w:pPr>
        <w:spacing w:line="240" w:lineRule="auto"/>
        <w:ind w:left="3240"/>
        <w:contextualSpacing/>
        <w:rPr>
          <w:rFonts w:cs="Times New Roman"/>
          <w:sz w:val="40"/>
          <w:szCs w:val="40"/>
          <w:lang w:val="uk-UA"/>
        </w:rPr>
      </w:pPr>
      <w:r w:rsidRPr="00ED469D">
        <w:rPr>
          <w:rFonts w:cs="Times New Roman"/>
          <w:sz w:val="40"/>
          <w:szCs w:val="40"/>
          <w:lang w:val="uk-UA"/>
        </w:rPr>
        <w:t>на тему: «</w:t>
      </w:r>
      <w:r w:rsidRPr="00A45E9B">
        <w:rPr>
          <w:rFonts w:cs="Times New Roman"/>
          <w:sz w:val="40"/>
          <w:szCs w:val="40"/>
          <w:lang w:val="uk-UA"/>
        </w:rPr>
        <w:t xml:space="preserve">Замкнені </w:t>
      </w:r>
      <w:proofErr w:type="spellStart"/>
      <w:r w:rsidRPr="00A45E9B">
        <w:rPr>
          <w:rFonts w:cs="Times New Roman"/>
          <w:sz w:val="40"/>
          <w:szCs w:val="40"/>
          <w:lang w:val="uk-UA"/>
        </w:rPr>
        <w:t>мікрокріогенні</w:t>
      </w:r>
      <w:proofErr w:type="spellEnd"/>
      <w:r w:rsidRPr="00A45E9B">
        <w:rPr>
          <w:rFonts w:cs="Times New Roman"/>
          <w:sz w:val="40"/>
          <w:szCs w:val="40"/>
          <w:lang w:val="uk-UA"/>
        </w:rPr>
        <w:t xml:space="preserve"> охолоджувальні системи</w:t>
      </w:r>
      <w:r w:rsidRPr="00ED469D">
        <w:rPr>
          <w:rFonts w:cs="Times New Roman"/>
          <w:sz w:val="40"/>
          <w:szCs w:val="40"/>
          <w:lang w:val="uk-UA"/>
        </w:rPr>
        <w:t>»</w:t>
      </w: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Виконав</w:t>
      </w: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Прокопенко Ярослав</w:t>
      </w: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 w:rsidRPr="00ED469D">
        <w:rPr>
          <w:rFonts w:cs="Times New Roman"/>
          <w:szCs w:val="28"/>
          <w:lang w:val="uk-UA"/>
        </w:rPr>
        <w:t>студент 4 курсу</w:t>
      </w: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 w:rsidRPr="00ED469D">
        <w:rPr>
          <w:rFonts w:cs="Times New Roman"/>
          <w:szCs w:val="28"/>
          <w:lang w:val="uk-UA"/>
        </w:rPr>
        <w:t xml:space="preserve">кафедра </w:t>
      </w:r>
      <w:proofErr w:type="spellStart"/>
      <w:r w:rsidRPr="00ED469D">
        <w:rPr>
          <w:rFonts w:cs="Times New Roman"/>
          <w:szCs w:val="28"/>
          <w:lang w:val="uk-UA"/>
        </w:rPr>
        <w:t>нанофізики</w:t>
      </w:r>
      <w:proofErr w:type="spellEnd"/>
      <w:r w:rsidRPr="00ED469D">
        <w:rPr>
          <w:rFonts w:cs="Times New Roman"/>
          <w:szCs w:val="28"/>
          <w:lang w:val="uk-UA"/>
        </w:rPr>
        <w:t xml:space="preserve"> </w:t>
      </w: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 w:rsidRPr="00ED469D">
        <w:rPr>
          <w:rFonts w:cs="Times New Roman"/>
          <w:szCs w:val="28"/>
          <w:lang w:val="uk-UA"/>
        </w:rPr>
        <w:t xml:space="preserve">та </w:t>
      </w:r>
      <w:proofErr w:type="spellStart"/>
      <w:r w:rsidRPr="00ED469D">
        <w:rPr>
          <w:rFonts w:cs="Times New Roman"/>
          <w:szCs w:val="28"/>
          <w:lang w:val="uk-UA"/>
        </w:rPr>
        <w:t>наноелектроніки</w:t>
      </w:r>
      <w:proofErr w:type="spellEnd"/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  <w:r w:rsidRPr="00ED469D">
        <w:rPr>
          <w:rFonts w:cs="Times New Roman"/>
          <w:szCs w:val="28"/>
          <w:lang w:val="uk-UA"/>
        </w:rPr>
        <w:t>Київ 2015</w:t>
      </w:r>
    </w:p>
    <w:p w:rsidR="00625C58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 w:val="32"/>
          <w:szCs w:val="32"/>
          <w:lang w:val="uk-UA"/>
        </w:rPr>
      </w:pPr>
      <w:r w:rsidRPr="00ED469D">
        <w:rPr>
          <w:rFonts w:cs="Times New Roman"/>
          <w:sz w:val="32"/>
          <w:szCs w:val="32"/>
          <w:lang w:val="uk-UA"/>
        </w:rPr>
        <w:lastRenderedPageBreak/>
        <w:t>Київський національний університет імені Тараса Шевченка</w:t>
      </w:r>
    </w:p>
    <w:p w:rsidR="00625C58" w:rsidRPr="00660579" w:rsidRDefault="00625C58" w:rsidP="00625C58">
      <w:pPr>
        <w:spacing w:line="240" w:lineRule="auto"/>
        <w:contextualSpacing/>
        <w:jc w:val="center"/>
        <w:rPr>
          <w:rFonts w:cs="Times New Roman"/>
          <w:szCs w:val="28"/>
        </w:rPr>
      </w:pPr>
      <w:r w:rsidRPr="00ED469D">
        <w:rPr>
          <w:rFonts w:cs="Times New Roman"/>
          <w:szCs w:val="28"/>
          <w:lang w:val="uk-UA"/>
        </w:rPr>
        <w:t xml:space="preserve">Факультет радіофізики, електроніки та </w:t>
      </w:r>
      <w:proofErr w:type="spellStart"/>
      <w:r w:rsidRPr="00ED469D">
        <w:rPr>
          <w:rFonts w:cs="Times New Roman"/>
          <w:szCs w:val="28"/>
          <w:lang w:val="uk-UA"/>
        </w:rPr>
        <w:t>комп’</w:t>
      </w:r>
      <w:r w:rsidRPr="00660579">
        <w:rPr>
          <w:rFonts w:cs="Times New Roman"/>
          <w:szCs w:val="28"/>
        </w:rPr>
        <w:t>ютерних</w:t>
      </w:r>
      <w:proofErr w:type="spellEnd"/>
      <w:r w:rsidRPr="00660579">
        <w:rPr>
          <w:rFonts w:cs="Times New Roman"/>
          <w:szCs w:val="28"/>
        </w:rPr>
        <w:t xml:space="preserve"> систем</w:t>
      </w: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 w:val="40"/>
          <w:szCs w:val="40"/>
          <w:lang w:val="uk-UA"/>
        </w:rPr>
      </w:pPr>
      <w:r w:rsidRPr="00ED469D">
        <w:rPr>
          <w:rFonts w:cs="Times New Roman"/>
          <w:sz w:val="40"/>
          <w:szCs w:val="40"/>
          <w:lang w:val="uk-UA"/>
        </w:rPr>
        <w:t>Звіт</w:t>
      </w:r>
    </w:p>
    <w:p w:rsidR="00625C58" w:rsidRPr="00ED469D" w:rsidRDefault="00625C58" w:rsidP="00625C58">
      <w:pPr>
        <w:spacing w:line="240" w:lineRule="auto"/>
        <w:ind w:left="3240"/>
        <w:contextualSpacing/>
        <w:rPr>
          <w:rFonts w:cs="Times New Roman"/>
          <w:sz w:val="40"/>
          <w:szCs w:val="40"/>
          <w:lang w:val="uk-UA"/>
        </w:rPr>
      </w:pPr>
      <w:r w:rsidRPr="00ED469D">
        <w:rPr>
          <w:rFonts w:cs="Times New Roman"/>
          <w:sz w:val="40"/>
          <w:szCs w:val="40"/>
          <w:lang w:val="uk-UA"/>
        </w:rPr>
        <w:t>по лабораторній роботі</w:t>
      </w:r>
    </w:p>
    <w:p w:rsidR="00625C58" w:rsidRPr="00ED469D" w:rsidRDefault="00625C58" w:rsidP="00625C58">
      <w:pPr>
        <w:spacing w:line="240" w:lineRule="auto"/>
        <w:ind w:left="3240"/>
        <w:contextualSpacing/>
        <w:rPr>
          <w:rFonts w:cs="Times New Roman"/>
          <w:sz w:val="40"/>
          <w:szCs w:val="40"/>
          <w:lang w:val="uk-UA"/>
        </w:rPr>
      </w:pPr>
      <w:r w:rsidRPr="00ED469D">
        <w:rPr>
          <w:rFonts w:cs="Times New Roman"/>
          <w:sz w:val="40"/>
          <w:szCs w:val="40"/>
          <w:lang w:val="uk-UA"/>
        </w:rPr>
        <w:t>з курсу «Кріогенна електроніка»</w:t>
      </w:r>
    </w:p>
    <w:p w:rsidR="00625C58" w:rsidRPr="00ED469D" w:rsidRDefault="00625C58" w:rsidP="00625C58">
      <w:pPr>
        <w:spacing w:line="240" w:lineRule="auto"/>
        <w:ind w:left="3240"/>
        <w:contextualSpacing/>
        <w:rPr>
          <w:rFonts w:cs="Times New Roman"/>
          <w:sz w:val="40"/>
          <w:szCs w:val="40"/>
          <w:lang w:val="uk-UA"/>
        </w:rPr>
      </w:pPr>
      <w:r w:rsidRPr="00ED469D">
        <w:rPr>
          <w:rFonts w:cs="Times New Roman"/>
          <w:sz w:val="40"/>
          <w:szCs w:val="40"/>
          <w:lang w:val="uk-UA"/>
        </w:rPr>
        <w:t>на тему: «</w:t>
      </w:r>
      <w:r w:rsidRPr="00A45E9B">
        <w:rPr>
          <w:rFonts w:cs="Times New Roman"/>
          <w:sz w:val="40"/>
          <w:szCs w:val="40"/>
          <w:lang w:val="uk-UA"/>
        </w:rPr>
        <w:t xml:space="preserve">Замкнені </w:t>
      </w:r>
      <w:proofErr w:type="spellStart"/>
      <w:r w:rsidRPr="00A45E9B">
        <w:rPr>
          <w:rFonts w:cs="Times New Roman"/>
          <w:sz w:val="40"/>
          <w:szCs w:val="40"/>
          <w:lang w:val="uk-UA"/>
        </w:rPr>
        <w:t>мікрокріогенні</w:t>
      </w:r>
      <w:proofErr w:type="spellEnd"/>
      <w:r w:rsidRPr="00A45E9B">
        <w:rPr>
          <w:rFonts w:cs="Times New Roman"/>
          <w:sz w:val="40"/>
          <w:szCs w:val="40"/>
          <w:lang w:val="uk-UA"/>
        </w:rPr>
        <w:t xml:space="preserve"> охолоджувальні системи</w:t>
      </w:r>
      <w:r w:rsidRPr="00ED469D">
        <w:rPr>
          <w:rFonts w:cs="Times New Roman"/>
          <w:sz w:val="40"/>
          <w:szCs w:val="40"/>
          <w:lang w:val="uk-UA"/>
        </w:rPr>
        <w:t>»</w:t>
      </w: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center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b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Виконав</w:t>
      </w:r>
    </w:p>
    <w:p w:rsidR="00625C58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 w:rsidRPr="00ED469D">
        <w:rPr>
          <w:rFonts w:cs="Times New Roman"/>
          <w:szCs w:val="28"/>
          <w:lang w:val="uk-UA"/>
        </w:rPr>
        <w:t>Козинець Олег</w:t>
      </w: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 w:rsidRPr="00ED469D">
        <w:rPr>
          <w:rFonts w:cs="Times New Roman"/>
          <w:szCs w:val="28"/>
          <w:lang w:val="uk-UA"/>
        </w:rPr>
        <w:t>студент 4 курсу</w:t>
      </w: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 w:rsidRPr="00ED469D">
        <w:rPr>
          <w:rFonts w:cs="Times New Roman"/>
          <w:szCs w:val="28"/>
          <w:lang w:val="uk-UA"/>
        </w:rPr>
        <w:t xml:space="preserve">кафедра </w:t>
      </w:r>
      <w:proofErr w:type="spellStart"/>
      <w:r w:rsidRPr="00ED469D">
        <w:rPr>
          <w:rFonts w:cs="Times New Roman"/>
          <w:szCs w:val="28"/>
          <w:lang w:val="uk-UA"/>
        </w:rPr>
        <w:t>нанофізики</w:t>
      </w:r>
      <w:proofErr w:type="spellEnd"/>
      <w:r w:rsidRPr="00ED469D">
        <w:rPr>
          <w:rFonts w:cs="Times New Roman"/>
          <w:szCs w:val="28"/>
          <w:lang w:val="uk-UA"/>
        </w:rPr>
        <w:t xml:space="preserve"> </w:t>
      </w:r>
    </w:p>
    <w:p w:rsidR="00625C58" w:rsidRPr="00ED469D" w:rsidRDefault="00625C58" w:rsidP="00625C58">
      <w:pPr>
        <w:spacing w:line="240" w:lineRule="auto"/>
        <w:ind w:left="5760"/>
        <w:contextualSpacing/>
        <w:rPr>
          <w:rFonts w:cs="Times New Roman"/>
          <w:szCs w:val="28"/>
          <w:lang w:val="uk-UA"/>
        </w:rPr>
      </w:pPr>
      <w:r w:rsidRPr="00ED469D">
        <w:rPr>
          <w:rFonts w:cs="Times New Roman"/>
          <w:szCs w:val="28"/>
          <w:lang w:val="uk-UA"/>
        </w:rPr>
        <w:t xml:space="preserve">та </w:t>
      </w:r>
      <w:proofErr w:type="spellStart"/>
      <w:r w:rsidRPr="00ED469D">
        <w:rPr>
          <w:rFonts w:cs="Times New Roman"/>
          <w:szCs w:val="28"/>
          <w:lang w:val="uk-UA"/>
        </w:rPr>
        <w:t>наноелектроніки</w:t>
      </w:r>
      <w:proofErr w:type="spellEnd"/>
    </w:p>
    <w:p w:rsidR="00625C58" w:rsidRPr="00ED469D" w:rsidRDefault="00625C58" w:rsidP="00625C58">
      <w:pPr>
        <w:spacing w:line="240" w:lineRule="auto"/>
        <w:contextualSpacing/>
        <w:jc w:val="right"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ED469D" w:rsidRDefault="00625C58" w:rsidP="00625C58">
      <w:pPr>
        <w:spacing w:line="240" w:lineRule="auto"/>
        <w:contextualSpacing/>
        <w:rPr>
          <w:rFonts w:cs="Times New Roman"/>
          <w:szCs w:val="28"/>
          <w:lang w:val="uk-UA"/>
        </w:rPr>
      </w:pPr>
    </w:p>
    <w:p w:rsidR="00625C58" w:rsidRPr="00660579" w:rsidRDefault="00625C58" w:rsidP="00625C58">
      <w:pPr>
        <w:spacing w:line="240" w:lineRule="auto"/>
        <w:contextualSpacing/>
        <w:jc w:val="center"/>
        <w:rPr>
          <w:rFonts w:cs="Times New Roman"/>
          <w:b/>
          <w:sz w:val="32"/>
          <w:szCs w:val="32"/>
          <w:lang w:val="uk-UA"/>
        </w:rPr>
      </w:pPr>
      <w:r w:rsidRPr="00ED469D">
        <w:rPr>
          <w:rFonts w:cs="Times New Roman"/>
          <w:szCs w:val="28"/>
          <w:lang w:val="uk-UA"/>
        </w:rPr>
        <w:t>Київ 2015</w:t>
      </w:r>
    </w:p>
    <w:p w:rsidR="00ED469D" w:rsidRPr="00ED469D" w:rsidRDefault="00ED469D" w:rsidP="00625C58">
      <w:pPr>
        <w:spacing w:line="240" w:lineRule="auto"/>
        <w:contextualSpacing/>
        <w:rPr>
          <w:rFonts w:cs="Times New Roman"/>
          <w:b/>
          <w:sz w:val="32"/>
          <w:szCs w:val="32"/>
          <w:lang w:val="uk-UA"/>
        </w:rPr>
      </w:pPr>
      <w:r w:rsidRPr="00ED469D">
        <w:rPr>
          <w:rFonts w:cs="Times New Roman"/>
          <w:szCs w:val="28"/>
          <w:lang w:val="uk-UA"/>
        </w:rPr>
        <w:br w:type="page"/>
      </w:r>
    </w:p>
    <w:p w:rsidR="00ED469D" w:rsidRPr="00ED469D" w:rsidRDefault="00A45E9B" w:rsidP="00ED469D">
      <w:pPr>
        <w:spacing w:line="240" w:lineRule="auto"/>
        <w:contextualSpacing/>
        <w:jc w:val="center"/>
        <w:rPr>
          <w:rFonts w:cs="Times New Roman"/>
          <w:b/>
          <w:sz w:val="32"/>
          <w:szCs w:val="32"/>
          <w:lang w:val="uk-UA"/>
        </w:rPr>
      </w:pPr>
      <w:r w:rsidRPr="00A45E9B">
        <w:rPr>
          <w:rFonts w:cs="Times New Roman"/>
          <w:b/>
          <w:sz w:val="32"/>
          <w:szCs w:val="32"/>
          <w:lang w:val="uk-UA"/>
        </w:rPr>
        <w:lastRenderedPageBreak/>
        <w:t xml:space="preserve">Замкнені </w:t>
      </w:r>
      <w:proofErr w:type="spellStart"/>
      <w:r w:rsidRPr="00A45E9B">
        <w:rPr>
          <w:rFonts w:cs="Times New Roman"/>
          <w:b/>
          <w:sz w:val="32"/>
          <w:szCs w:val="32"/>
          <w:lang w:val="uk-UA"/>
        </w:rPr>
        <w:t>мікрокріогенні</w:t>
      </w:r>
      <w:proofErr w:type="spellEnd"/>
      <w:r w:rsidRPr="00A45E9B">
        <w:rPr>
          <w:rFonts w:cs="Times New Roman"/>
          <w:b/>
          <w:sz w:val="32"/>
          <w:szCs w:val="32"/>
          <w:lang w:val="uk-UA"/>
        </w:rPr>
        <w:t xml:space="preserve"> охолоджувальні системи</w:t>
      </w:r>
    </w:p>
    <w:p w:rsidR="00ED469D" w:rsidRPr="00ED469D" w:rsidRDefault="00ED469D" w:rsidP="00ED469D">
      <w:pPr>
        <w:spacing w:line="240" w:lineRule="auto"/>
        <w:contextualSpacing/>
        <w:jc w:val="center"/>
        <w:rPr>
          <w:rFonts w:cs="Times New Roman"/>
          <w:b/>
          <w:sz w:val="32"/>
          <w:szCs w:val="32"/>
          <w:lang w:val="uk-UA"/>
        </w:rPr>
      </w:pPr>
    </w:p>
    <w:p w:rsidR="00ED469D" w:rsidRPr="00ED469D" w:rsidRDefault="00ED469D" w:rsidP="00ED469D">
      <w:pPr>
        <w:spacing w:line="240" w:lineRule="auto"/>
        <w:ind w:firstLine="1134"/>
        <w:contextualSpacing/>
        <w:rPr>
          <w:rFonts w:cs="Times New Roman"/>
          <w:szCs w:val="28"/>
          <w:lang w:val="uk-UA"/>
        </w:rPr>
      </w:pPr>
      <w:r w:rsidRPr="00ED469D">
        <w:rPr>
          <w:rFonts w:cs="Times New Roman"/>
          <w:b/>
          <w:szCs w:val="28"/>
          <w:lang w:val="uk-UA"/>
        </w:rPr>
        <w:t>Мета роботи:</w:t>
      </w:r>
      <w:r w:rsidRPr="00ED469D">
        <w:rPr>
          <w:rFonts w:cs="Times New Roman"/>
          <w:szCs w:val="28"/>
          <w:lang w:val="uk-UA"/>
        </w:rPr>
        <w:t xml:space="preserve"> вивчення принципів роботи і конструкції </w:t>
      </w:r>
      <w:proofErr w:type="spellStart"/>
      <w:r w:rsidRPr="00ED469D">
        <w:rPr>
          <w:rFonts w:cs="Times New Roman"/>
          <w:szCs w:val="28"/>
          <w:lang w:val="uk-UA"/>
        </w:rPr>
        <w:t>мікрокріогенних</w:t>
      </w:r>
      <w:proofErr w:type="spellEnd"/>
      <w:r w:rsidRPr="00ED469D">
        <w:rPr>
          <w:rFonts w:cs="Times New Roman"/>
          <w:szCs w:val="28"/>
          <w:lang w:val="uk-UA"/>
        </w:rPr>
        <w:t xml:space="preserve"> охолоджувальних систем з замкненим циклом</w:t>
      </w:r>
      <w:r w:rsidRPr="00ED469D">
        <w:rPr>
          <w:rFonts w:cs="Times New Roman"/>
          <w:i/>
          <w:szCs w:val="28"/>
          <w:lang w:val="uk-UA"/>
        </w:rPr>
        <w:t>.</w:t>
      </w:r>
    </w:p>
    <w:p w:rsidR="00ED469D" w:rsidRPr="006D3114" w:rsidRDefault="00ED469D" w:rsidP="006D3114">
      <w:pPr>
        <w:pStyle w:val="1"/>
      </w:pPr>
      <w:r w:rsidRPr="006D3114">
        <w:t>Схема установки</w:t>
      </w:r>
    </w:p>
    <w:p w:rsidR="00ED469D" w:rsidRDefault="00ED469D" w:rsidP="00ED469D">
      <w:pPr>
        <w:jc w:val="center"/>
        <w:rPr>
          <w:rFonts w:cs="Times New Roman"/>
          <w:sz w:val="24"/>
          <w:lang w:val="uk-UA"/>
        </w:rPr>
      </w:pPr>
      <w:r w:rsidRPr="00ED469D">
        <w:rPr>
          <w:rFonts w:eastAsia="Times New Roman" w:cs="Times New Roman"/>
          <w:sz w:val="24"/>
          <w:szCs w:val="20"/>
          <w:lang w:val="uk-UA"/>
        </w:rPr>
        <w:object w:dxaOrig="9780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356.4pt" o:ole="" fillcolor="window">
            <v:imagedata r:id="rId6" o:title=""/>
          </v:shape>
          <o:OLEObject Type="Embed" ProgID="Word.Picture.8" ShapeID="_x0000_i1025" DrawAspect="Content" ObjectID="_1512289722" r:id="rId7"/>
        </w:object>
      </w:r>
      <w:r w:rsidRPr="00ED469D">
        <w:rPr>
          <w:rFonts w:cs="Times New Roman"/>
          <w:sz w:val="24"/>
          <w:lang w:val="uk-UA"/>
        </w:rPr>
        <w:t xml:space="preserve"> Рис. 1. </w:t>
      </w:r>
      <w:proofErr w:type="spellStart"/>
      <w:r w:rsidRPr="00ED469D">
        <w:rPr>
          <w:rFonts w:cs="Times New Roman"/>
          <w:sz w:val="24"/>
          <w:lang w:val="uk-UA"/>
        </w:rPr>
        <w:t>Блок - </w:t>
      </w:r>
      <w:proofErr w:type="spellEnd"/>
      <w:r w:rsidRPr="00ED469D">
        <w:rPr>
          <w:rFonts w:cs="Times New Roman"/>
          <w:sz w:val="24"/>
          <w:lang w:val="uk-UA"/>
        </w:rPr>
        <w:t xml:space="preserve">схема </w:t>
      </w:r>
      <w:proofErr w:type="spellStart"/>
      <w:r w:rsidRPr="00ED469D">
        <w:rPr>
          <w:rFonts w:cs="Times New Roman"/>
          <w:sz w:val="24"/>
          <w:lang w:val="uk-UA"/>
        </w:rPr>
        <w:t>мікрокріогенної</w:t>
      </w:r>
      <w:proofErr w:type="spellEnd"/>
      <w:r w:rsidRPr="00ED469D">
        <w:rPr>
          <w:rFonts w:cs="Times New Roman"/>
          <w:sz w:val="24"/>
          <w:lang w:val="uk-UA"/>
        </w:rPr>
        <w:t xml:space="preserve"> системи.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D469D" w:rsidTr="00ED469D">
        <w:tc>
          <w:tcPr>
            <w:tcW w:w="4261" w:type="dxa"/>
            <w:hideMark/>
          </w:tcPr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Вимірювальна секція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Вакуумна камера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Форвакуумний насос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Вакуумний кран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Мікроохолоджувач</w:t>
            </w:r>
            <w:proofErr w:type="spellEnd"/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Фланець І рівня охолодження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Фланець ІІ рівня охолодження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Адсорбційний насос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Термопарні датчики вакууму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Додаткові низькочастотні </w:t>
            </w:r>
            <w:proofErr w:type="spellStart"/>
            <w:r>
              <w:rPr>
                <w:sz w:val="22"/>
                <w:lang w:val="uk-UA"/>
              </w:rPr>
              <w:t>гермороз’єми</w:t>
            </w:r>
            <w:proofErr w:type="spellEnd"/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Індикатор вакууму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Au-Au+Fe термопари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bookmarkStart w:id="0" w:name="_GoBack"/>
            <w:bookmarkEnd w:id="0"/>
            <w:r>
              <w:rPr>
                <w:sz w:val="22"/>
                <w:lang w:val="uk-UA"/>
              </w:rPr>
              <w:t>Термопари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Манганінові нагрівачі </w:t>
            </w:r>
          </w:p>
        </w:tc>
        <w:tc>
          <w:tcPr>
            <w:tcW w:w="4261" w:type="dxa"/>
            <w:hideMark/>
          </w:tcPr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Блок контролю та регулювання температури фланців 9 та 10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Холодопровід</w:t>
            </w:r>
            <w:proofErr w:type="spellEnd"/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Попередній захисний екран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Основний захисний екран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Напівпровідникові датчики температури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Константановий</w:t>
            </w:r>
            <w:proofErr w:type="spellEnd"/>
            <w:r>
              <w:rPr>
                <w:sz w:val="22"/>
                <w:lang w:val="uk-UA"/>
              </w:rPr>
              <w:t xml:space="preserve"> нагрівач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Електронна система контролю низьких температур зразка</w:t>
            </w:r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ind w:right="-31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Вхідний сигнальний </w:t>
            </w:r>
            <w:proofErr w:type="spellStart"/>
            <w:r>
              <w:rPr>
                <w:sz w:val="22"/>
                <w:lang w:val="uk-UA"/>
              </w:rPr>
              <w:t>гермоввід</w:t>
            </w:r>
            <w:proofErr w:type="spellEnd"/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ind w:right="-455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Вихідний сигнальний </w:t>
            </w:r>
            <w:proofErr w:type="spellStart"/>
            <w:r>
              <w:rPr>
                <w:sz w:val="22"/>
                <w:lang w:val="uk-UA"/>
              </w:rPr>
              <w:t>гермоввід</w:t>
            </w:r>
            <w:proofErr w:type="spellEnd"/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Вхідні та вихідні лінії </w:t>
            </w:r>
            <w:proofErr w:type="spellStart"/>
            <w:r>
              <w:rPr>
                <w:sz w:val="22"/>
                <w:lang w:val="uk-UA"/>
              </w:rPr>
              <w:t>передачи</w:t>
            </w:r>
            <w:proofErr w:type="spellEnd"/>
          </w:p>
          <w:p w:rsidR="00ED469D" w:rsidRDefault="00ED469D" w:rsidP="00ED469D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Магнітний екран</w:t>
            </w:r>
          </w:p>
        </w:tc>
      </w:tr>
    </w:tbl>
    <w:p w:rsidR="00ED469D" w:rsidRDefault="00ED469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ED469D" w:rsidRDefault="006D3114" w:rsidP="006D3114">
      <w:pPr>
        <w:pStyle w:val="1"/>
      </w:pPr>
      <w:r>
        <w:lastRenderedPageBreak/>
        <w:t>Опис установки</w:t>
      </w:r>
    </w:p>
    <w:p w:rsidR="006D3114" w:rsidRDefault="006D3114" w:rsidP="006D3114">
      <w:pPr>
        <w:pStyle w:val="11"/>
        <w:spacing w:line="360" w:lineRule="auto"/>
        <w:ind w:left="-562" w:firstLine="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Досліджуваний зразок розміщується у вимірювальній секції (1), що розташована всередині вакуумної камери (2). Відкачка вакуумної камери (2), на першому етапі, в діапазоні вакууму до ~10</w:t>
      </w:r>
      <w:r>
        <w:rPr>
          <w:sz w:val="28"/>
          <w:szCs w:val="28"/>
          <w:vertAlign w:val="superscript"/>
          <w:lang w:val="uk-UA"/>
        </w:rPr>
        <w:t>-3</w:t>
      </w:r>
      <w:r>
        <w:rPr>
          <w:sz w:val="28"/>
          <w:szCs w:val="28"/>
          <w:lang w:val="uk-UA"/>
        </w:rPr>
        <w:t xml:space="preserve"> мм </w:t>
      </w:r>
      <w:proofErr w:type="spellStart"/>
      <w:r>
        <w:rPr>
          <w:sz w:val="28"/>
          <w:szCs w:val="28"/>
          <w:lang w:val="uk-UA"/>
        </w:rPr>
        <w:t>рт</w:t>
      </w:r>
      <w:proofErr w:type="spellEnd"/>
      <w:r>
        <w:rPr>
          <w:sz w:val="28"/>
          <w:szCs w:val="28"/>
          <w:lang w:val="uk-UA"/>
        </w:rPr>
        <w:t>. ст. здійснюється форвакуумним насосом (3) через сифонний вакуумний кран (4). При значенні вакууму 10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мм </w:t>
      </w:r>
      <w:proofErr w:type="spellStart"/>
      <w:r>
        <w:rPr>
          <w:sz w:val="28"/>
          <w:szCs w:val="28"/>
          <w:lang w:val="uk-UA"/>
        </w:rPr>
        <w:t>рт</w:t>
      </w:r>
      <w:proofErr w:type="spellEnd"/>
      <w:r>
        <w:rPr>
          <w:sz w:val="28"/>
          <w:szCs w:val="28"/>
          <w:lang w:val="uk-UA"/>
        </w:rPr>
        <w:t xml:space="preserve">. ст. включається </w:t>
      </w:r>
      <w:proofErr w:type="spellStart"/>
      <w:r>
        <w:rPr>
          <w:sz w:val="28"/>
          <w:szCs w:val="28"/>
          <w:lang w:val="uk-UA"/>
        </w:rPr>
        <w:t>мікроохолоджувач</w:t>
      </w:r>
      <w:proofErr w:type="spellEnd"/>
      <w:r>
        <w:rPr>
          <w:sz w:val="28"/>
          <w:szCs w:val="28"/>
          <w:lang w:val="uk-UA"/>
        </w:rPr>
        <w:t xml:space="preserve"> поршневого типу (5), у результаті роботи якого здійснюється другий етап відкачки в діапазоні вакууму 10</w:t>
      </w:r>
      <w:r>
        <w:rPr>
          <w:sz w:val="28"/>
          <w:szCs w:val="28"/>
          <w:vertAlign w:val="superscript"/>
          <w:lang w:val="uk-UA"/>
        </w:rPr>
        <w:t>-3</w:t>
      </w:r>
      <w:r>
        <w:rPr>
          <w:sz w:val="28"/>
          <w:szCs w:val="28"/>
          <w:lang w:val="uk-UA"/>
        </w:rPr>
        <w:t xml:space="preserve"> ÷10</w:t>
      </w:r>
      <w:r>
        <w:rPr>
          <w:sz w:val="28"/>
          <w:szCs w:val="28"/>
          <w:vertAlign w:val="superscript"/>
          <w:lang w:val="uk-UA"/>
        </w:rPr>
        <w:t>-6</w:t>
      </w:r>
      <w:r>
        <w:rPr>
          <w:sz w:val="28"/>
          <w:szCs w:val="28"/>
          <w:lang w:val="uk-UA"/>
        </w:rPr>
        <w:t xml:space="preserve"> мм </w:t>
      </w:r>
      <w:proofErr w:type="spellStart"/>
      <w:r>
        <w:rPr>
          <w:sz w:val="28"/>
          <w:szCs w:val="28"/>
          <w:lang w:val="uk-UA"/>
        </w:rPr>
        <w:t>рт</w:t>
      </w:r>
      <w:proofErr w:type="spellEnd"/>
      <w:r>
        <w:rPr>
          <w:sz w:val="28"/>
          <w:szCs w:val="28"/>
          <w:lang w:val="uk-UA"/>
        </w:rPr>
        <w:t xml:space="preserve">. ст. Цей </w:t>
      </w:r>
      <w:proofErr w:type="spellStart"/>
      <w:r>
        <w:rPr>
          <w:sz w:val="28"/>
          <w:szCs w:val="28"/>
          <w:lang w:val="uk-UA"/>
        </w:rPr>
        <w:t>мікроохолоджувач</w:t>
      </w:r>
      <w:proofErr w:type="spellEnd"/>
      <w:r>
        <w:rPr>
          <w:sz w:val="28"/>
          <w:szCs w:val="28"/>
          <w:lang w:val="uk-UA"/>
        </w:rPr>
        <w:t xml:space="preserve"> був побудований за двохступеневою схемою </w:t>
      </w:r>
      <w:proofErr w:type="spellStart"/>
      <w:r>
        <w:rPr>
          <w:sz w:val="28"/>
          <w:szCs w:val="28"/>
          <w:lang w:val="uk-UA"/>
        </w:rPr>
        <w:t>Джифорда – Мак - Маг</w:t>
      </w:r>
      <w:proofErr w:type="spellEnd"/>
      <w:r>
        <w:rPr>
          <w:sz w:val="28"/>
          <w:szCs w:val="28"/>
          <w:lang w:val="uk-UA"/>
        </w:rPr>
        <w:t xml:space="preserve">она [3]. На першому ступені відбувається </w:t>
      </w:r>
      <w:proofErr w:type="spellStart"/>
      <w:r>
        <w:rPr>
          <w:sz w:val="28"/>
          <w:szCs w:val="28"/>
          <w:lang w:val="uk-UA"/>
        </w:rPr>
        <w:t>захолодження</w:t>
      </w:r>
      <w:proofErr w:type="spellEnd"/>
      <w:r>
        <w:rPr>
          <w:sz w:val="28"/>
          <w:szCs w:val="28"/>
          <w:lang w:val="uk-UA"/>
        </w:rPr>
        <w:t xml:space="preserve"> до азотної температури (≥77К) з </w:t>
      </w:r>
      <w:proofErr w:type="spellStart"/>
      <w:r>
        <w:rPr>
          <w:sz w:val="28"/>
          <w:szCs w:val="28"/>
          <w:lang w:val="uk-UA"/>
        </w:rPr>
        <w:t>холодовиробництвом</w:t>
      </w:r>
      <w:proofErr w:type="spellEnd"/>
      <w:r>
        <w:rPr>
          <w:sz w:val="28"/>
          <w:szCs w:val="28"/>
          <w:lang w:val="uk-UA"/>
        </w:rPr>
        <w:t xml:space="preserve"> ≤7 Вт., а другий ступінь забезпечує охолодження до температури водневого рівня (≥15К) з </w:t>
      </w:r>
      <w:proofErr w:type="spellStart"/>
      <w:r>
        <w:rPr>
          <w:sz w:val="28"/>
          <w:szCs w:val="28"/>
          <w:lang w:val="uk-UA"/>
        </w:rPr>
        <w:t>холодовиробництвом</w:t>
      </w:r>
      <w:proofErr w:type="spellEnd"/>
      <w:r>
        <w:rPr>
          <w:sz w:val="28"/>
          <w:szCs w:val="28"/>
          <w:lang w:val="uk-UA"/>
        </w:rPr>
        <w:t xml:space="preserve"> ≤2 Вт. У процесі роботи </w:t>
      </w:r>
      <w:proofErr w:type="spellStart"/>
      <w:r>
        <w:rPr>
          <w:sz w:val="28"/>
          <w:szCs w:val="28"/>
          <w:lang w:val="uk-UA"/>
        </w:rPr>
        <w:t>мікроохолоджувача</w:t>
      </w:r>
      <w:proofErr w:type="spellEnd"/>
      <w:r>
        <w:rPr>
          <w:sz w:val="28"/>
          <w:szCs w:val="28"/>
          <w:lang w:val="uk-UA"/>
        </w:rPr>
        <w:t xml:space="preserve"> (5) відбувається охолодження мідних фланців (6) та (7) цих ступенів. Фланець (6) охолоджується до температури 77К, а фланець (7) охолоджується до температури 15К. При їх охолоджуванні паралельно відбувається другий етап процесу відкачки, де ці фланці (6) та (7) використовуються в якості </w:t>
      </w:r>
      <w:proofErr w:type="spellStart"/>
      <w:r>
        <w:rPr>
          <w:sz w:val="28"/>
          <w:szCs w:val="28"/>
          <w:lang w:val="uk-UA"/>
        </w:rPr>
        <w:t>кріовловлювачів</w:t>
      </w:r>
      <w:proofErr w:type="spellEnd"/>
      <w:r>
        <w:rPr>
          <w:sz w:val="28"/>
          <w:szCs w:val="28"/>
          <w:lang w:val="uk-UA"/>
        </w:rPr>
        <w:t>. Для зменшення часу другого етапу відкачки та стабілізації динамічного вакууму використовується компактний адсорбційний насос (8) з діапазоном відкачки 10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÷10</w:t>
      </w:r>
      <w:r>
        <w:rPr>
          <w:sz w:val="28"/>
          <w:szCs w:val="28"/>
          <w:vertAlign w:val="superscript"/>
          <w:lang w:val="uk-UA"/>
        </w:rPr>
        <w:t>-6</w:t>
      </w:r>
      <w:r>
        <w:rPr>
          <w:sz w:val="28"/>
          <w:szCs w:val="28"/>
          <w:lang w:val="uk-UA"/>
        </w:rPr>
        <w:t xml:space="preserve"> мм </w:t>
      </w:r>
      <w:proofErr w:type="spellStart"/>
      <w:r>
        <w:rPr>
          <w:sz w:val="28"/>
          <w:szCs w:val="28"/>
          <w:lang w:val="uk-UA"/>
        </w:rPr>
        <w:t>рт</w:t>
      </w:r>
      <w:proofErr w:type="spellEnd"/>
      <w:r>
        <w:rPr>
          <w:sz w:val="28"/>
          <w:szCs w:val="28"/>
          <w:lang w:val="uk-UA"/>
        </w:rPr>
        <w:t xml:space="preserve">. ст., що контактує зі стінкою мідного фланця водневого рівня (7). Вимірювання тиску у вакуумній камері (2) проводиться термопарними датчиками (9) та виводиться через низькочастотні </w:t>
      </w:r>
      <w:proofErr w:type="spellStart"/>
      <w:r>
        <w:rPr>
          <w:sz w:val="28"/>
          <w:szCs w:val="28"/>
          <w:lang w:val="uk-UA"/>
        </w:rPr>
        <w:t>гермороз’єми</w:t>
      </w:r>
      <w:proofErr w:type="spellEnd"/>
      <w:r>
        <w:rPr>
          <w:sz w:val="28"/>
          <w:szCs w:val="28"/>
          <w:lang w:val="uk-UA"/>
        </w:rPr>
        <w:t xml:space="preserve"> (10) на індикатор вакууму (11). Вимірювання температури на фланцях (6) та (7) здійснюється Au-Au+Fe термопарами (12), а її регулювання виконується манганіновими нагрівачами (13), що розташовуються безпосередньо на цих фланцях. Потужність нагрівачів - ≤10 Вт та ≤3 Вт на фланцях (6) та (7) відповідно. Вибір та стабілізація фіксованої температури на фланцях (6) та (7) здійснюється блоком контролю та регулювання температурою фланців (14).</w:t>
      </w:r>
    </w:p>
    <w:p w:rsidR="006D3114" w:rsidRDefault="006D3114" w:rsidP="006D3114">
      <w:pPr>
        <w:spacing w:after="0" w:line="360" w:lineRule="auto"/>
        <w:ind w:left="-562" w:firstLine="288"/>
        <w:rPr>
          <w:szCs w:val="28"/>
          <w:lang w:val="uk-UA"/>
        </w:rPr>
      </w:pPr>
      <w:r>
        <w:rPr>
          <w:szCs w:val="28"/>
          <w:lang w:val="uk-UA"/>
        </w:rPr>
        <w:t xml:space="preserve">Діапазон регулювання температури фланця азотного рівня (6) - 77÷300К, а на водневому фланці (7) температура може змінюватися в межах 15÷77К. </w:t>
      </w:r>
      <w:r>
        <w:rPr>
          <w:szCs w:val="28"/>
          <w:lang w:val="uk-UA"/>
        </w:rPr>
        <w:lastRenderedPageBreak/>
        <w:t>Стабільність підтримання температури становить ± 5 К та ± 1 К на фланцях (6) та (7) відповідно.</w:t>
      </w:r>
    </w:p>
    <w:p w:rsidR="006D3114" w:rsidRDefault="006D3114" w:rsidP="006D3114">
      <w:pPr>
        <w:spacing w:after="0" w:line="360" w:lineRule="auto"/>
        <w:ind w:left="-562" w:firstLine="288"/>
        <w:rPr>
          <w:szCs w:val="28"/>
          <w:lang w:val="uk-UA"/>
        </w:rPr>
      </w:pPr>
      <w:r>
        <w:rPr>
          <w:szCs w:val="28"/>
          <w:lang w:val="uk-UA"/>
        </w:rPr>
        <w:t>При значеннях вакууму 10</w:t>
      </w:r>
      <w:r>
        <w:rPr>
          <w:szCs w:val="28"/>
          <w:vertAlign w:val="superscript"/>
          <w:lang w:val="uk-UA"/>
        </w:rPr>
        <w:t>-4</w:t>
      </w:r>
      <w:r>
        <w:rPr>
          <w:szCs w:val="28"/>
          <w:lang w:val="uk-UA"/>
        </w:rPr>
        <w:t xml:space="preserve"> ÷10</w:t>
      </w:r>
      <w:r>
        <w:rPr>
          <w:szCs w:val="28"/>
          <w:vertAlign w:val="superscript"/>
          <w:lang w:val="uk-UA"/>
        </w:rPr>
        <w:t>-5</w:t>
      </w:r>
      <w:r>
        <w:rPr>
          <w:szCs w:val="28"/>
          <w:lang w:val="uk-UA"/>
        </w:rPr>
        <w:t xml:space="preserve"> мм </w:t>
      </w:r>
      <w:proofErr w:type="spellStart"/>
      <w:r>
        <w:rPr>
          <w:szCs w:val="28"/>
          <w:lang w:val="uk-UA"/>
        </w:rPr>
        <w:t>рт</w:t>
      </w:r>
      <w:proofErr w:type="spellEnd"/>
      <w:r>
        <w:rPr>
          <w:szCs w:val="28"/>
          <w:lang w:val="uk-UA"/>
        </w:rPr>
        <w:t xml:space="preserve">. ст. у процесі роботи </w:t>
      </w:r>
      <w:proofErr w:type="spellStart"/>
      <w:r>
        <w:rPr>
          <w:szCs w:val="28"/>
          <w:lang w:val="uk-UA"/>
        </w:rPr>
        <w:t>мікроохолоджувача</w:t>
      </w:r>
      <w:proofErr w:type="spellEnd"/>
      <w:r>
        <w:rPr>
          <w:szCs w:val="28"/>
          <w:lang w:val="uk-UA"/>
        </w:rPr>
        <w:t xml:space="preserve"> (5) та за рахунок зменшення притоку тепла від стінок вакуумної камери (2) через рештки повітря починається процес ефективного охолодження мідних фланців (6) та (7). Швидкість охолодження приблизно становить 200 К на годину.</w:t>
      </w:r>
    </w:p>
    <w:p w:rsidR="006D3114" w:rsidRDefault="006D3114" w:rsidP="006D3114">
      <w:pPr>
        <w:spacing w:after="0" w:line="360" w:lineRule="auto"/>
        <w:ind w:left="-562" w:firstLine="288"/>
        <w:rPr>
          <w:szCs w:val="28"/>
          <w:lang w:val="uk-UA"/>
        </w:rPr>
      </w:pPr>
      <w:r>
        <w:rPr>
          <w:szCs w:val="28"/>
          <w:lang w:val="uk-UA"/>
        </w:rPr>
        <w:t xml:space="preserve">В умовах високого вакууму передача низької температури з джерела холоду МКС (мідного фланця 7) на вимірювальну секцію 1 здійснюється гнучким мідним </w:t>
      </w:r>
      <w:proofErr w:type="spellStart"/>
      <w:r>
        <w:rPr>
          <w:szCs w:val="28"/>
          <w:lang w:val="uk-UA"/>
        </w:rPr>
        <w:t>холодопроводом</w:t>
      </w:r>
      <w:proofErr w:type="spellEnd"/>
      <w:r>
        <w:rPr>
          <w:szCs w:val="28"/>
          <w:lang w:val="uk-UA"/>
        </w:rPr>
        <w:t xml:space="preserve"> (16).</w:t>
      </w:r>
    </w:p>
    <w:p w:rsidR="006D3114" w:rsidRDefault="006D3114" w:rsidP="006D3114">
      <w:pPr>
        <w:pStyle w:val="3"/>
        <w:spacing w:after="0" w:line="360" w:lineRule="auto"/>
        <w:ind w:left="-562" w:right="0" w:firstLine="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поліпшення теплового контакту між вимірювальною секцією (1) и </w:t>
      </w:r>
      <w:proofErr w:type="spellStart"/>
      <w:r>
        <w:rPr>
          <w:sz w:val="28"/>
          <w:szCs w:val="28"/>
          <w:lang w:val="uk-UA"/>
        </w:rPr>
        <w:t>холодопроводом</w:t>
      </w:r>
      <w:proofErr w:type="spellEnd"/>
      <w:r>
        <w:rPr>
          <w:sz w:val="28"/>
          <w:szCs w:val="28"/>
          <w:lang w:val="uk-UA"/>
        </w:rPr>
        <w:t xml:space="preserve"> (16), а також вимірювальною секцією (1) і фланцем (7) використовуються індієві прокладки. Для зменшення радіаційного </w:t>
      </w:r>
      <w:proofErr w:type="spellStart"/>
      <w:r>
        <w:rPr>
          <w:sz w:val="28"/>
          <w:szCs w:val="28"/>
          <w:lang w:val="uk-UA"/>
        </w:rPr>
        <w:t>теплопритоку</w:t>
      </w:r>
      <w:proofErr w:type="spellEnd"/>
      <w:r>
        <w:rPr>
          <w:sz w:val="28"/>
          <w:szCs w:val="28"/>
          <w:lang w:val="uk-UA"/>
        </w:rPr>
        <w:t xml:space="preserve"> від стінок вакуумної камери (2) до мідних фланців (6) і (7), вимірювальної секції (1) і </w:t>
      </w:r>
      <w:proofErr w:type="spellStart"/>
      <w:r>
        <w:rPr>
          <w:sz w:val="28"/>
          <w:szCs w:val="28"/>
          <w:lang w:val="uk-UA"/>
        </w:rPr>
        <w:t>холодопровода</w:t>
      </w:r>
      <w:proofErr w:type="spellEnd"/>
      <w:r>
        <w:rPr>
          <w:sz w:val="28"/>
          <w:szCs w:val="28"/>
          <w:lang w:val="uk-UA"/>
        </w:rPr>
        <w:t xml:space="preserve"> (16) використовуються захисні екрани двох типів. Перший екран (17) є попереднім з азотним рівнем охолодження. Він являє собою масивний мідний циліндр, що контактує з фланцем (9), на його стінки напорошено метал з великим коефіцієнтом відбиття випромінювання. Другий тип екрану 18 є основним, він охолоджується до водневого рівня. Це легкий компактний трьохшаровий екран, який контактує з фланцем водневого рівня 7. Він розташований в безпосередній близькості від цього фланця, вимірювальної секції (1) та </w:t>
      </w:r>
      <w:proofErr w:type="spellStart"/>
      <w:r>
        <w:rPr>
          <w:sz w:val="28"/>
          <w:szCs w:val="28"/>
          <w:lang w:val="uk-UA"/>
        </w:rPr>
        <w:t>холодопровода</w:t>
      </w:r>
      <w:proofErr w:type="spellEnd"/>
      <w:r>
        <w:rPr>
          <w:sz w:val="28"/>
          <w:szCs w:val="28"/>
          <w:lang w:val="uk-UA"/>
        </w:rPr>
        <w:t xml:space="preserve"> (16). Застосування таких екранів дозволяє досягти перепаду температур між вимірювальною секцією (1) і мідним фланцем (7), що не перевищує 1 К.</w:t>
      </w:r>
    </w:p>
    <w:p w:rsidR="006D3114" w:rsidRDefault="006D3114" w:rsidP="006D3114">
      <w:pPr>
        <w:pStyle w:val="a4"/>
        <w:tabs>
          <w:tab w:val="left" w:pos="708"/>
        </w:tabs>
        <w:ind w:left="-562" w:firstLine="288"/>
        <w:rPr>
          <w:sz w:val="28"/>
          <w:szCs w:val="28"/>
        </w:rPr>
      </w:pPr>
      <w:r>
        <w:rPr>
          <w:sz w:val="28"/>
          <w:szCs w:val="28"/>
        </w:rPr>
        <w:t xml:space="preserve">Контроль за температурою на вимірювальної секції (1) здійснювалося чутливими напівпровідниковими датчиками (18), а її регулювання здійснювалося </w:t>
      </w:r>
      <w:proofErr w:type="spellStart"/>
      <w:r>
        <w:rPr>
          <w:sz w:val="28"/>
          <w:szCs w:val="28"/>
        </w:rPr>
        <w:t>константановим</w:t>
      </w:r>
      <w:proofErr w:type="spellEnd"/>
      <w:r>
        <w:rPr>
          <w:sz w:val="28"/>
          <w:szCs w:val="28"/>
        </w:rPr>
        <w:t xml:space="preserve"> нагрівачем (19), що був розташований безпосередньо на секції (1). Потужність нагрівача була ≤5 Вт. Вибір фіксованої температури вимірювальної секції (1) здійснювався електронною системою контролю низьких температур зразка (20). Діапазон регулювання температурою міг змінюватися в </w:t>
      </w:r>
      <w:r>
        <w:rPr>
          <w:sz w:val="28"/>
          <w:szCs w:val="28"/>
        </w:rPr>
        <w:lastRenderedPageBreak/>
        <w:t>межах 40К. Стабільність підтримання температури становила ~10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К. Комплексне використання можливостей системи (20) та блока (14) дозволило проводити дослідження зразка, розташованого у вимірювальній секції (1), у широкому діапазоні температур від 16К до 300К.</w:t>
      </w:r>
    </w:p>
    <w:p w:rsidR="006D3114" w:rsidRDefault="006D3114" w:rsidP="006D3114">
      <w:pPr>
        <w:spacing w:after="0" w:line="360" w:lineRule="auto"/>
        <w:ind w:left="-562" w:firstLine="288"/>
        <w:rPr>
          <w:szCs w:val="28"/>
          <w:lang w:val="uk-UA"/>
        </w:rPr>
      </w:pPr>
      <w:r>
        <w:rPr>
          <w:szCs w:val="28"/>
          <w:lang w:val="uk-UA"/>
        </w:rPr>
        <w:t xml:space="preserve">Для підводу вхідних та вихідних сигналів до зразка, що знаходиться в середині вимірювальної секції (1), у стінки вакуумної камери (2) були вмонтовані вакуумні </w:t>
      </w:r>
      <w:proofErr w:type="spellStart"/>
      <w:r>
        <w:rPr>
          <w:szCs w:val="28"/>
          <w:lang w:val="uk-UA"/>
        </w:rPr>
        <w:t>гермовводи</w:t>
      </w:r>
      <w:proofErr w:type="spellEnd"/>
      <w:r>
        <w:rPr>
          <w:szCs w:val="28"/>
          <w:lang w:val="uk-UA"/>
        </w:rPr>
        <w:t xml:space="preserve"> (21) та (22), та додаткові низькочастотні роз’єми з вакуумними ущільнювачами (10). Температурна розв’язка між вимірювальною секцією (1) та </w:t>
      </w:r>
      <w:proofErr w:type="spellStart"/>
      <w:r>
        <w:rPr>
          <w:szCs w:val="28"/>
          <w:lang w:val="uk-UA"/>
        </w:rPr>
        <w:t>гермовводами</w:t>
      </w:r>
      <w:proofErr w:type="spellEnd"/>
      <w:r>
        <w:rPr>
          <w:szCs w:val="28"/>
          <w:lang w:val="uk-UA"/>
        </w:rPr>
        <w:t xml:space="preserve"> (10), (21) та (22) забезпечується використанням </w:t>
      </w:r>
      <w:proofErr w:type="spellStart"/>
      <w:r>
        <w:rPr>
          <w:szCs w:val="28"/>
          <w:lang w:val="uk-UA"/>
        </w:rPr>
        <w:t>малотеплоприточних</w:t>
      </w:r>
      <w:proofErr w:type="spellEnd"/>
      <w:r>
        <w:rPr>
          <w:szCs w:val="28"/>
          <w:lang w:val="uk-UA"/>
        </w:rPr>
        <w:t xml:space="preserve"> ліній передачі (23), </w:t>
      </w:r>
      <w:proofErr w:type="spellStart"/>
      <w:r>
        <w:rPr>
          <w:szCs w:val="28"/>
          <w:lang w:val="uk-UA"/>
        </w:rPr>
        <w:t>холодороз’ємами</w:t>
      </w:r>
      <w:proofErr w:type="spellEnd"/>
      <w:r>
        <w:rPr>
          <w:szCs w:val="28"/>
          <w:lang w:val="uk-UA"/>
        </w:rPr>
        <w:t xml:space="preserve"> та холодними екранами - бандажами азотного рівня. Для зменшення паразитного впливу вібрацій фланця (7) на вимірювальну секцію (1) використовувався гнучкий </w:t>
      </w:r>
      <w:proofErr w:type="spellStart"/>
      <w:r>
        <w:rPr>
          <w:szCs w:val="28"/>
          <w:lang w:val="uk-UA"/>
        </w:rPr>
        <w:t>холодопровід</w:t>
      </w:r>
      <w:proofErr w:type="spellEnd"/>
      <w:r>
        <w:rPr>
          <w:szCs w:val="28"/>
          <w:lang w:val="uk-UA"/>
        </w:rPr>
        <w:t xml:space="preserve"> (15) і гумові прокладки на вакуумних ущільненнях </w:t>
      </w:r>
      <w:proofErr w:type="spellStart"/>
      <w:r>
        <w:rPr>
          <w:szCs w:val="28"/>
          <w:lang w:val="uk-UA"/>
        </w:rPr>
        <w:t>гермовводів</w:t>
      </w:r>
      <w:proofErr w:type="spellEnd"/>
      <w:r>
        <w:rPr>
          <w:szCs w:val="28"/>
          <w:lang w:val="uk-UA"/>
        </w:rPr>
        <w:t xml:space="preserve"> (21) і (22) та </w:t>
      </w:r>
      <w:proofErr w:type="spellStart"/>
      <w:r>
        <w:rPr>
          <w:szCs w:val="28"/>
          <w:lang w:val="uk-UA"/>
        </w:rPr>
        <w:t>мікроохолоджувача</w:t>
      </w:r>
      <w:proofErr w:type="spellEnd"/>
      <w:r>
        <w:rPr>
          <w:szCs w:val="28"/>
          <w:lang w:val="uk-UA"/>
        </w:rPr>
        <w:t xml:space="preserve"> (5) із вакуумною камерою (2). При необхідності для зменшення впливу зовнішніх магнітних полів можна застосовувати магнітний екран (24) водневого рівня охолодження.</w:t>
      </w:r>
    </w:p>
    <w:p w:rsidR="006D3114" w:rsidRDefault="006D3114" w:rsidP="006D3114">
      <w:pPr>
        <w:spacing w:after="0" w:line="360" w:lineRule="auto"/>
        <w:ind w:left="-562" w:firstLine="288"/>
        <w:rPr>
          <w:szCs w:val="28"/>
          <w:lang w:val="uk-UA"/>
        </w:rPr>
      </w:pPr>
      <w:r>
        <w:rPr>
          <w:szCs w:val="28"/>
          <w:lang w:val="uk-UA"/>
        </w:rPr>
        <w:t>Таким чином ця кріогенна система дозволяє проводити низькотемпературні вимірювання зразків в широкому діапазоні температур від 16К до 300К за умов високого вакууму 10</w:t>
      </w:r>
      <w:r>
        <w:rPr>
          <w:szCs w:val="28"/>
          <w:vertAlign w:val="superscript"/>
          <w:lang w:val="uk-UA"/>
        </w:rPr>
        <w:t>-6</w:t>
      </w:r>
      <w:r>
        <w:rPr>
          <w:szCs w:val="28"/>
          <w:lang w:val="uk-UA"/>
        </w:rPr>
        <w:t xml:space="preserve"> мм </w:t>
      </w:r>
      <w:proofErr w:type="spellStart"/>
      <w:r>
        <w:rPr>
          <w:szCs w:val="28"/>
          <w:lang w:val="uk-UA"/>
        </w:rPr>
        <w:t>рт</w:t>
      </w:r>
      <w:proofErr w:type="spellEnd"/>
      <w:r>
        <w:rPr>
          <w:szCs w:val="28"/>
          <w:lang w:val="uk-UA"/>
        </w:rPr>
        <w:t>. ст. Точність вимірювань температури - ~10</w:t>
      </w:r>
      <w:r>
        <w:rPr>
          <w:szCs w:val="28"/>
          <w:vertAlign w:val="superscript"/>
          <w:lang w:val="uk-UA"/>
        </w:rPr>
        <w:t>-3</w:t>
      </w:r>
      <w:r>
        <w:rPr>
          <w:szCs w:val="28"/>
          <w:lang w:val="uk-UA"/>
        </w:rPr>
        <w:t xml:space="preserve"> К. </w:t>
      </w:r>
      <w:proofErr w:type="spellStart"/>
      <w:r>
        <w:rPr>
          <w:szCs w:val="28"/>
          <w:lang w:val="uk-UA"/>
        </w:rPr>
        <w:t>Термостабілізація</w:t>
      </w:r>
      <w:proofErr w:type="spellEnd"/>
      <w:r>
        <w:rPr>
          <w:szCs w:val="28"/>
          <w:lang w:val="uk-UA"/>
        </w:rPr>
        <w:t xml:space="preserve"> - не гірше ±10</w:t>
      </w:r>
      <w:r>
        <w:rPr>
          <w:szCs w:val="28"/>
          <w:vertAlign w:val="superscript"/>
          <w:lang w:val="uk-UA"/>
        </w:rPr>
        <w:t>-3</w:t>
      </w:r>
      <w:r>
        <w:rPr>
          <w:szCs w:val="28"/>
          <w:lang w:val="uk-UA"/>
        </w:rPr>
        <w:t xml:space="preserve"> К.</w:t>
      </w:r>
    </w:p>
    <w:p w:rsidR="006D3114" w:rsidRDefault="006D3114">
      <w:pPr>
        <w:jc w:val="left"/>
        <w:rPr>
          <w:lang w:val="uk-UA"/>
        </w:rPr>
      </w:pPr>
      <w:r>
        <w:rPr>
          <w:lang w:val="uk-UA"/>
        </w:rPr>
        <w:br w:type="page"/>
      </w:r>
    </w:p>
    <w:p w:rsidR="006D3114" w:rsidRDefault="006D3114" w:rsidP="006D3114">
      <w:pPr>
        <w:pStyle w:val="1"/>
      </w:pPr>
      <w:r>
        <w:lastRenderedPageBreak/>
        <w:t>Висновок</w:t>
      </w:r>
    </w:p>
    <w:p w:rsidR="006D3114" w:rsidRDefault="006D3114" w:rsidP="006D3114">
      <w:pPr>
        <w:pStyle w:val="12"/>
        <w:spacing w:after="0" w:line="360" w:lineRule="auto"/>
        <w:ind w:left="-562" w:firstLine="2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установки</w:t>
      </w:r>
      <w:r>
        <w:rPr>
          <w:rFonts w:ascii="Times New Roman" w:hAnsi="Times New Roman"/>
          <w:sz w:val="28"/>
          <w:szCs w:val="28"/>
          <w:lang w:val="uk-UA"/>
        </w:rPr>
        <w:t xml:space="preserve"> було досягнуто температур порядку 30К. Це є досить значне досягнення, яке дозволяє проводити дослідження властивостей зразка за низьких температур. Загалом, інтенсивний розвиток кріогенної техніки є однією з характерних особливостей науково-технічного прогресу на протязі останніх 10-15 років. З кожним роком розширюється коло завдань, що стоїть перед кріогенною технікою, виникають нові напрямки використання низьких температур, зростає їх роль в сучасних галузях науки і техніки. Реалізація досягнень низькотемпературної фізики в радіоелектроніці стимулювала появу зовсім нової та специфічної області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мікрокріогенної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техніки. Її розвиток відкрив принципово нові можливості при розвитку багатьох актуальних задач. Останнім часом надпровідна електроніка стала перспективним напрямком розвитку мікроелектронних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наноелектронних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інтегральних схем. Перспективність полягає в тому, що використання у якості «фізичного носія інформації» кванту магнітного потоку, величина якого (Ф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>≈2,07*10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-15</w:t>
      </w:r>
      <w:r>
        <w:rPr>
          <w:rFonts w:ascii="Times New Roman" w:hAnsi="Times New Roman"/>
          <w:sz w:val="28"/>
          <w:szCs w:val="28"/>
          <w:lang w:val="uk-UA"/>
        </w:rPr>
        <w:t> Вб ≈2 пс*мВ), що дозволяє отримувати рекордну швидкодію при мінімальному енерговиділенні.</w:t>
      </w:r>
    </w:p>
    <w:p w:rsidR="006D3114" w:rsidRDefault="006D3114" w:rsidP="006D3114">
      <w:pPr>
        <w:spacing w:after="0" w:line="360" w:lineRule="auto"/>
        <w:ind w:left="-562" w:firstLine="288"/>
        <w:rPr>
          <w:szCs w:val="28"/>
          <w:lang w:val="uk-UA"/>
        </w:rPr>
      </w:pPr>
      <w:r>
        <w:rPr>
          <w:szCs w:val="28"/>
          <w:lang w:val="uk-UA"/>
        </w:rPr>
        <w:t xml:space="preserve">Для роботи надпровідних пристроїв необхідні низькі температури. Один з найбільш розповсюджених методів </w:t>
      </w:r>
      <w:proofErr w:type="spellStart"/>
      <w:r>
        <w:rPr>
          <w:szCs w:val="28"/>
          <w:lang w:val="uk-UA"/>
        </w:rPr>
        <w:t>–зкраплених</w:t>
      </w:r>
      <w:proofErr w:type="spellEnd"/>
      <w:r>
        <w:rPr>
          <w:szCs w:val="28"/>
          <w:lang w:val="uk-UA"/>
        </w:rPr>
        <w:t xml:space="preserve"> газів – має свої недоліки, серед яких основним є те, що </w:t>
      </w:r>
      <w:proofErr w:type="spellStart"/>
      <w:r>
        <w:rPr>
          <w:szCs w:val="28"/>
          <w:lang w:val="uk-UA"/>
        </w:rPr>
        <w:t>зкраплені</w:t>
      </w:r>
      <w:proofErr w:type="spellEnd"/>
      <w:r>
        <w:rPr>
          <w:szCs w:val="28"/>
          <w:lang w:val="uk-UA"/>
        </w:rPr>
        <w:t xml:space="preserve"> гази швидко випаровуються. Крім того, при використанні ускладнюється отримання температур, більш низьких, ніж температура кипіння газу. Тому були розроблені альтернативні методи отримання низьких температур, з одним з яких є використання автономної </w:t>
      </w:r>
      <w:proofErr w:type="spellStart"/>
      <w:r>
        <w:rPr>
          <w:szCs w:val="28"/>
          <w:lang w:val="uk-UA"/>
        </w:rPr>
        <w:t>мікрокріогенної</w:t>
      </w:r>
      <w:proofErr w:type="spellEnd"/>
      <w:r>
        <w:rPr>
          <w:szCs w:val="28"/>
          <w:lang w:val="uk-UA"/>
        </w:rPr>
        <w:t xml:space="preserve"> системи замкненого циклу (МКС) на базі промислової установки МСМР-100А-3,2/20.</w:t>
      </w:r>
    </w:p>
    <w:sectPr w:rsidR="006D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0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D"/>
    <w:rsid w:val="000123B0"/>
    <w:rsid w:val="00037DB1"/>
    <w:rsid w:val="00063F95"/>
    <w:rsid w:val="0009298D"/>
    <w:rsid w:val="000A06BB"/>
    <w:rsid w:val="000B034D"/>
    <w:rsid w:val="000B0A35"/>
    <w:rsid w:val="000D3A9D"/>
    <w:rsid w:val="000D4CAF"/>
    <w:rsid w:val="000D6645"/>
    <w:rsid w:val="000E2664"/>
    <w:rsid w:val="000F5475"/>
    <w:rsid w:val="000F5B65"/>
    <w:rsid w:val="000F79B0"/>
    <w:rsid w:val="00147F47"/>
    <w:rsid w:val="00150BCD"/>
    <w:rsid w:val="00151F8C"/>
    <w:rsid w:val="00160CD5"/>
    <w:rsid w:val="001834D1"/>
    <w:rsid w:val="001B5387"/>
    <w:rsid w:val="001D4573"/>
    <w:rsid w:val="00214A75"/>
    <w:rsid w:val="0022534C"/>
    <w:rsid w:val="002351C3"/>
    <w:rsid w:val="00250919"/>
    <w:rsid w:val="00251956"/>
    <w:rsid w:val="00262DD6"/>
    <w:rsid w:val="00274B91"/>
    <w:rsid w:val="0027718F"/>
    <w:rsid w:val="00290127"/>
    <w:rsid w:val="00294510"/>
    <w:rsid w:val="002D1885"/>
    <w:rsid w:val="00304191"/>
    <w:rsid w:val="0032422B"/>
    <w:rsid w:val="00355AB2"/>
    <w:rsid w:val="00362EB4"/>
    <w:rsid w:val="00366B41"/>
    <w:rsid w:val="00385BB2"/>
    <w:rsid w:val="00396853"/>
    <w:rsid w:val="003C1959"/>
    <w:rsid w:val="003C7DA7"/>
    <w:rsid w:val="003E513A"/>
    <w:rsid w:val="004100E5"/>
    <w:rsid w:val="0041507F"/>
    <w:rsid w:val="00420EB6"/>
    <w:rsid w:val="0042695F"/>
    <w:rsid w:val="00431578"/>
    <w:rsid w:val="0043588F"/>
    <w:rsid w:val="00435F36"/>
    <w:rsid w:val="004726D6"/>
    <w:rsid w:val="0049099E"/>
    <w:rsid w:val="0049174D"/>
    <w:rsid w:val="0049616A"/>
    <w:rsid w:val="004A544B"/>
    <w:rsid w:val="004E42E8"/>
    <w:rsid w:val="00531A63"/>
    <w:rsid w:val="00533096"/>
    <w:rsid w:val="00536129"/>
    <w:rsid w:val="00541702"/>
    <w:rsid w:val="005617AB"/>
    <w:rsid w:val="005A25CD"/>
    <w:rsid w:val="005B380C"/>
    <w:rsid w:val="005B62D6"/>
    <w:rsid w:val="005D76EE"/>
    <w:rsid w:val="005E30E4"/>
    <w:rsid w:val="005F6653"/>
    <w:rsid w:val="005F6B57"/>
    <w:rsid w:val="006009AA"/>
    <w:rsid w:val="00625C58"/>
    <w:rsid w:val="006409D9"/>
    <w:rsid w:val="0067333F"/>
    <w:rsid w:val="006A1142"/>
    <w:rsid w:val="006A3893"/>
    <w:rsid w:val="006D1C01"/>
    <w:rsid w:val="006D1C9C"/>
    <w:rsid w:val="006D262D"/>
    <w:rsid w:val="006D3114"/>
    <w:rsid w:val="006F1DE0"/>
    <w:rsid w:val="00700DCC"/>
    <w:rsid w:val="00703A35"/>
    <w:rsid w:val="00711ED0"/>
    <w:rsid w:val="00723648"/>
    <w:rsid w:val="00740B58"/>
    <w:rsid w:val="00772450"/>
    <w:rsid w:val="0077354A"/>
    <w:rsid w:val="0078618B"/>
    <w:rsid w:val="007B4782"/>
    <w:rsid w:val="007D1ADC"/>
    <w:rsid w:val="007D3C5E"/>
    <w:rsid w:val="007F04C2"/>
    <w:rsid w:val="00814069"/>
    <w:rsid w:val="00842AB5"/>
    <w:rsid w:val="00852C96"/>
    <w:rsid w:val="008746A5"/>
    <w:rsid w:val="008758B9"/>
    <w:rsid w:val="00876AE4"/>
    <w:rsid w:val="008B0699"/>
    <w:rsid w:val="008B762E"/>
    <w:rsid w:val="008C27AF"/>
    <w:rsid w:val="0090038F"/>
    <w:rsid w:val="00905792"/>
    <w:rsid w:val="00956B2D"/>
    <w:rsid w:val="00982CB0"/>
    <w:rsid w:val="00A004CE"/>
    <w:rsid w:val="00A11BB5"/>
    <w:rsid w:val="00A23F50"/>
    <w:rsid w:val="00A32EB9"/>
    <w:rsid w:val="00A3531D"/>
    <w:rsid w:val="00A43BEB"/>
    <w:rsid w:val="00A43EDB"/>
    <w:rsid w:val="00A45E9B"/>
    <w:rsid w:val="00A56C3C"/>
    <w:rsid w:val="00A60C86"/>
    <w:rsid w:val="00A65967"/>
    <w:rsid w:val="00A91D04"/>
    <w:rsid w:val="00AD01C9"/>
    <w:rsid w:val="00AE2ABC"/>
    <w:rsid w:val="00B04646"/>
    <w:rsid w:val="00B209DA"/>
    <w:rsid w:val="00B34BFE"/>
    <w:rsid w:val="00B54D20"/>
    <w:rsid w:val="00B57606"/>
    <w:rsid w:val="00B669DD"/>
    <w:rsid w:val="00B91E43"/>
    <w:rsid w:val="00BA44F0"/>
    <w:rsid w:val="00BB6277"/>
    <w:rsid w:val="00BC5345"/>
    <w:rsid w:val="00BF43A2"/>
    <w:rsid w:val="00C02553"/>
    <w:rsid w:val="00C3006F"/>
    <w:rsid w:val="00C3452B"/>
    <w:rsid w:val="00C45D42"/>
    <w:rsid w:val="00C5016C"/>
    <w:rsid w:val="00CA37F9"/>
    <w:rsid w:val="00CB68D6"/>
    <w:rsid w:val="00CC32CD"/>
    <w:rsid w:val="00CE32AB"/>
    <w:rsid w:val="00CF5C3E"/>
    <w:rsid w:val="00D564DD"/>
    <w:rsid w:val="00DA6867"/>
    <w:rsid w:val="00DB0A11"/>
    <w:rsid w:val="00DE38D9"/>
    <w:rsid w:val="00DE6A3E"/>
    <w:rsid w:val="00DF2559"/>
    <w:rsid w:val="00E12A21"/>
    <w:rsid w:val="00E55098"/>
    <w:rsid w:val="00E67595"/>
    <w:rsid w:val="00E72D66"/>
    <w:rsid w:val="00E82589"/>
    <w:rsid w:val="00E850A7"/>
    <w:rsid w:val="00E90473"/>
    <w:rsid w:val="00ED2630"/>
    <w:rsid w:val="00ED469D"/>
    <w:rsid w:val="00EE2215"/>
    <w:rsid w:val="00F26BCB"/>
    <w:rsid w:val="00F417CE"/>
    <w:rsid w:val="00F47384"/>
    <w:rsid w:val="00F62D1E"/>
    <w:rsid w:val="00F71469"/>
    <w:rsid w:val="00F84CBE"/>
    <w:rsid w:val="00F971E2"/>
    <w:rsid w:val="00FA10DF"/>
    <w:rsid w:val="00FA4467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14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D3114"/>
    <w:pPr>
      <w:keepNext/>
      <w:keepLines/>
      <w:spacing w:before="200"/>
      <w:jc w:val="center"/>
      <w:outlineLvl w:val="0"/>
    </w:pPr>
    <w:rPr>
      <w:rFonts w:eastAsiaTheme="majorEastAsia" w:cs="Times New Roman"/>
      <w:b/>
      <w:bCs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209DA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114"/>
    <w:rPr>
      <w:rFonts w:ascii="Times New Roman" w:eastAsiaTheme="majorEastAsia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09DA"/>
    <w:rPr>
      <w:rFonts w:ascii="Times New Roman" w:eastAsiaTheme="majorEastAsia" w:hAnsi="Times New Roman" w:cstheme="majorBidi"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ED469D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D3114"/>
    <w:pPr>
      <w:tabs>
        <w:tab w:val="left" w:pos="851"/>
      </w:tabs>
      <w:spacing w:after="0" w:line="360" w:lineRule="auto"/>
      <w:ind w:firstLine="567"/>
    </w:pPr>
    <w:rPr>
      <w:rFonts w:eastAsia="Times New Roman" w:cs="Times New Roman"/>
      <w:sz w:val="24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D31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D3114"/>
    <w:pPr>
      <w:spacing w:after="120" w:line="240" w:lineRule="auto"/>
      <w:ind w:left="360" w:right="-125"/>
    </w:pPr>
    <w:rPr>
      <w:rFonts w:eastAsia="Times New Roman" w:cs="Times New Roman"/>
      <w:color w:val="000000"/>
      <w:sz w:val="16"/>
      <w:szCs w:val="20"/>
      <w:lang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6D3114"/>
    <w:rPr>
      <w:rFonts w:ascii="Times New Roman" w:eastAsia="Times New Roman" w:hAnsi="Times New Roman" w:cs="Times New Roman"/>
      <w:color w:val="000000"/>
      <w:sz w:val="16"/>
      <w:szCs w:val="20"/>
      <w:lang w:eastAsia="uk-UA"/>
    </w:rPr>
  </w:style>
  <w:style w:type="paragraph" w:customStyle="1" w:styleId="11">
    <w:name w:val="Основной текст1"/>
    <w:basedOn w:val="a"/>
    <w:rsid w:val="006D311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6D3114"/>
    <w:pPr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E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14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D3114"/>
    <w:pPr>
      <w:keepNext/>
      <w:keepLines/>
      <w:spacing w:before="200"/>
      <w:jc w:val="center"/>
      <w:outlineLvl w:val="0"/>
    </w:pPr>
    <w:rPr>
      <w:rFonts w:eastAsiaTheme="majorEastAsia" w:cs="Times New Roman"/>
      <w:b/>
      <w:bCs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209DA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114"/>
    <w:rPr>
      <w:rFonts w:ascii="Times New Roman" w:eastAsiaTheme="majorEastAsia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09DA"/>
    <w:rPr>
      <w:rFonts w:ascii="Times New Roman" w:eastAsiaTheme="majorEastAsia" w:hAnsi="Times New Roman" w:cstheme="majorBidi"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ED469D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D3114"/>
    <w:pPr>
      <w:tabs>
        <w:tab w:val="left" w:pos="851"/>
      </w:tabs>
      <w:spacing w:after="0" w:line="360" w:lineRule="auto"/>
      <w:ind w:firstLine="567"/>
    </w:pPr>
    <w:rPr>
      <w:rFonts w:eastAsia="Times New Roman" w:cs="Times New Roman"/>
      <w:sz w:val="24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D31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D3114"/>
    <w:pPr>
      <w:spacing w:after="120" w:line="240" w:lineRule="auto"/>
      <w:ind w:left="360" w:right="-125"/>
    </w:pPr>
    <w:rPr>
      <w:rFonts w:eastAsia="Times New Roman" w:cs="Times New Roman"/>
      <w:color w:val="000000"/>
      <w:sz w:val="16"/>
      <w:szCs w:val="20"/>
      <w:lang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6D3114"/>
    <w:rPr>
      <w:rFonts w:ascii="Times New Roman" w:eastAsia="Times New Roman" w:hAnsi="Times New Roman" w:cs="Times New Roman"/>
      <w:color w:val="000000"/>
      <w:sz w:val="16"/>
      <w:szCs w:val="20"/>
      <w:lang w:eastAsia="uk-UA"/>
    </w:rPr>
  </w:style>
  <w:style w:type="paragraph" w:customStyle="1" w:styleId="11">
    <w:name w:val="Основной текст1"/>
    <w:basedOn w:val="a"/>
    <w:rsid w:val="006D311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6D3114"/>
    <w:pPr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E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Козинець</dc:creator>
  <cp:lastModifiedBy>Роман</cp:lastModifiedBy>
  <cp:revision>3</cp:revision>
  <cp:lastPrinted>2015-12-14T08:22:00Z</cp:lastPrinted>
  <dcterms:created xsi:type="dcterms:W3CDTF">2015-12-12T21:24:00Z</dcterms:created>
  <dcterms:modified xsi:type="dcterms:W3CDTF">2015-12-22T09:42:00Z</dcterms:modified>
</cp:coreProperties>
</file>