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E8" w:rsidRDefault="00C63FE8" w:rsidP="00C63FE8">
      <w:pPr>
        <w:pStyle w:val="3"/>
        <w:jc w:val="center"/>
      </w:pPr>
      <w:r>
        <w:t>Критичний стан. Критичні параметри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ab/>
        <w:t xml:space="preserve">Давайте уважніше розглянемо введений </w:t>
      </w:r>
      <w:proofErr w:type="spellStart"/>
      <w:r>
        <w:rPr>
          <w:lang w:val="uk-UA"/>
        </w:rPr>
        <w:t>Ендрюсом</w:t>
      </w:r>
      <w:proofErr w:type="spellEnd"/>
      <w:r>
        <w:rPr>
          <w:lang w:val="uk-UA"/>
        </w:rPr>
        <w:t xml:space="preserve"> критичний стан речовини. Нехай є рівняння </w:t>
      </w:r>
      <w:proofErr w:type="spellStart"/>
      <w:r>
        <w:rPr>
          <w:lang w:val="uk-UA"/>
        </w:rPr>
        <w:t>Ван-дер-Ваальса</w:t>
      </w:r>
      <w:proofErr w:type="spellEnd"/>
    </w:p>
    <w:p w:rsidR="00C63FE8" w:rsidRDefault="00C63FE8" w:rsidP="00C63FE8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260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42.75pt" o:ole="" fillcolor="window">
            <v:imagedata r:id="rId5" o:title=""/>
          </v:shape>
          <o:OLEObject Type="Embed" ProgID="Equation.3" ShapeID="_x0000_i1025" DrawAspect="Content" ObjectID="_1366105246" r:id="rId6"/>
        </w:object>
      </w:r>
      <w:r>
        <w:rPr>
          <w:lang w:val="uk-UA"/>
        </w:rPr>
        <w:t>.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 xml:space="preserve">Будемо вважати, що воно достатньою мірою підтверджено експериментально. Пов’яжемо сталі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 xml:space="preserve"> </w:t>
      </w:r>
      <w:r>
        <w:rPr>
          <w:position w:val="-6"/>
          <w:sz w:val="20"/>
          <w:lang w:val="uk-UA"/>
        </w:rPr>
        <w:object w:dxaOrig="220" w:dyaOrig="240">
          <v:shape id="_x0000_i1026" type="#_x0000_t75" style="width:11.25pt;height:12pt" o:ole="" fillcolor="window">
            <v:imagedata r:id="rId7" o:title=""/>
          </v:shape>
          <o:OLEObject Type="Embed" ProgID="Equation.3" ShapeID="_x0000_i1026" DrawAspect="Content" ObjectID="_1366105247" r:id="rId8"/>
        </w:object>
      </w:r>
      <w:r>
        <w:rPr>
          <w:lang w:val="uk-UA"/>
        </w:rPr>
        <w:t xml:space="preserve"> і </w:t>
      </w:r>
      <w:r>
        <w:rPr>
          <w:position w:val="-6"/>
          <w:sz w:val="20"/>
          <w:lang w:val="uk-UA"/>
        </w:rPr>
        <w:object w:dxaOrig="200" w:dyaOrig="300">
          <v:shape id="_x0000_i1027" type="#_x0000_t75" style="width:9.75pt;height:15pt" o:ole="" fillcolor="window">
            <v:imagedata r:id="rId9" o:title=""/>
          </v:shape>
          <o:OLEObject Type="Embed" ProgID="Equation.3" ShapeID="_x0000_i1027" DrawAspect="Content" ObjectID="_1366105248" r:id="rId10"/>
        </w:object>
      </w:r>
      <w:r>
        <w:rPr>
          <w:lang w:val="uk-UA"/>
        </w:rPr>
        <w:t xml:space="preserve"> із критичними параметрами. 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ab/>
        <w:t xml:space="preserve">У точці перегину перша і друга похідна повинні дорівнювати нулю. Знайдемо їх. Для цього перепишемо рівняння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 xml:space="preserve"> у такому вигляді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1840" w:dyaOrig="780">
          <v:shape id="_x0000_i1028" type="#_x0000_t75" style="width:92.25pt;height:39pt" o:ole="" fillcolor="window">
            <v:imagedata r:id="rId11" o:title=""/>
          </v:shape>
          <o:OLEObject Type="Embed" ProgID="Equation.3" ShapeID="_x0000_i1028" DrawAspect="Content" ObjectID="_1366105249" r:id="rId12"/>
        </w:object>
      </w:r>
      <w:r>
        <w:rPr>
          <w:lang w:val="uk-UA"/>
        </w:rPr>
        <w:t>.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>Тоді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38"/>
          <w:sz w:val="20"/>
          <w:lang w:val="uk-UA"/>
        </w:rPr>
        <w:object w:dxaOrig="2540" w:dyaOrig="820">
          <v:shape id="_x0000_i1029" type="#_x0000_t75" style="width:126.75pt;height:41.25pt" o:ole="" fillcolor="window">
            <v:imagedata r:id="rId13" o:title=""/>
          </v:shape>
          <o:OLEObject Type="Embed" ProgID="Equation.3" ShapeID="_x0000_i1029" DrawAspect="Content" ObjectID="_1366105250" r:id="rId14"/>
        </w:object>
      </w:r>
      <w:r>
        <w:rPr>
          <w:lang w:val="uk-UA"/>
        </w:rPr>
        <w:t xml:space="preserve">;           </w:t>
      </w:r>
      <w:r>
        <w:rPr>
          <w:position w:val="-38"/>
          <w:sz w:val="20"/>
          <w:lang w:val="uk-UA"/>
        </w:rPr>
        <w:object w:dxaOrig="2520" w:dyaOrig="920">
          <v:shape id="_x0000_i1030" type="#_x0000_t75" style="width:126pt;height:45.75pt" o:ole="" fillcolor="window">
            <v:imagedata r:id="rId15" o:title=""/>
          </v:shape>
          <o:OLEObject Type="Embed" ProgID="Equation.3" ShapeID="_x0000_i1030" DrawAspect="Content" ObjectID="_1366105251" r:id="rId16"/>
        </w:object>
      </w:r>
      <w:r>
        <w:rPr>
          <w:lang w:val="uk-UA"/>
        </w:rPr>
        <w:t>.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>У критичному стані</w:t>
      </w:r>
    </w:p>
    <w:p w:rsidR="00C63FE8" w:rsidRDefault="00C63FE8" w:rsidP="00C63FE8">
      <w:pPr>
        <w:jc w:val="center"/>
        <w:rPr>
          <w:lang w:val="uk-UA"/>
        </w:rPr>
      </w:pPr>
      <w:r>
        <w:rPr>
          <w:noProof/>
          <w:position w:val="-34"/>
          <w:sz w:val="20"/>
          <w:lang w:val="ru-RU"/>
        </w:rPr>
        <w:drawing>
          <wp:inline distT="0" distB="0" distL="0" distR="0">
            <wp:extent cx="10668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 xml:space="preserve">запишемо ці рівняння і поділимо їх </w:t>
      </w:r>
      <w:proofErr w:type="spellStart"/>
      <w:r>
        <w:rPr>
          <w:lang w:val="uk-UA"/>
        </w:rPr>
        <w:t>почленно</w:t>
      </w:r>
      <w:proofErr w:type="spellEnd"/>
      <w:r>
        <w:rPr>
          <w:lang w:val="uk-UA"/>
        </w:rPr>
        <w:t xml:space="preserve"> одне на друге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46"/>
          <w:sz w:val="20"/>
          <w:lang w:val="uk-UA"/>
        </w:rPr>
        <w:object w:dxaOrig="4180" w:dyaOrig="1060">
          <v:shape id="_x0000_i1031" type="#_x0000_t75" style="width:209.25pt;height:53.25pt" o:ole="" fillcolor="window">
            <v:imagedata r:id="rId18" o:title=""/>
          </v:shape>
          <o:OLEObject Type="Embed" ProgID="Equation.3" ShapeID="_x0000_i1031" DrawAspect="Content" ObjectID="_1366105252" r:id="rId19"/>
        </w:objec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 xml:space="preserve">Отримаємо 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1540" w:dyaOrig="720">
          <v:shape id="_x0000_i1032" type="#_x0000_t75" style="width:77.25pt;height:36pt" o:ole="" fillcolor="window">
            <v:imagedata r:id="rId20" o:title=""/>
          </v:shape>
          <o:OLEObject Type="Embed" ProgID="Equation.3" ShapeID="_x0000_i1032" DrawAspect="Content" ObjectID="_1366105253" r:id="rId21"/>
        </w:object>
      </w:r>
      <w:r>
        <w:rPr>
          <w:lang w:val="uk-UA"/>
        </w:rPr>
        <w:t>,</w:t>
      </w:r>
    </w:p>
    <w:p w:rsidR="00C63FE8" w:rsidRDefault="00C63FE8" w:rsidP="00C63FE8">
      <w:pPr>
        <w:jc w:val="both"/>
        <w:rPr>
          <w:u w:val="single"/>
          <w:lang w:val="uk-UA"/>
        </w:rPr>
      </w:pPr>
      <w:r>
        <w:rPr>
          <w:lang w:val="uk-UA"/>
        </w:rPr>
        <w:t xml:space="preserve">звідки знаходимо </w:t>
      </w:r>
      <w:r>
        <w:rPr>
          <w:u w:val="single"/>
          <w:lang w:val="uk-UA"/>
        </w:rPr>
        <w:t>критичний об’єм – найбільший об’єм рідини для даного стану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900" w:dyaOrig="380">
          <v:shape id="_x0000_i1033" type="#_x0000_t75" style="width:45pt;height:18.75pt" o:ole="" fillcolor="window">
            <v:imagedata r:id="rId2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3" DrawAspect="Content" ObjectID="_1366105254" r:id="rId23"/>
        </w:object>
      </w:r>
      <w:r>
        <w:rPr>
          <w:lang w:val="uk-UA"/>
        </w:rPr>
        <w:t>.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both"/>
        <w:rPr>
          <w:u w:val="single"/>
          <w:lang w:val="uk-UA"/>
        </w:rPr>
      </w:pPr>
      <w:r>
        <w:rPr>
          <w:lang w:val="uk-UA"/>
        </w:rPr>
        <w:tab/>
        <w:t xml:space="preserve">Підставивши це значення у будь-яке з рівнянь, можемо знайти </w:t>
      </w:r>
      <w:r>
        <w:rPr>
          <w:u w:val="single"/>
          <w:lang w:val="uk-UA"/>
        </w:rPr>
        <w:t>критичну температуру – температуру, при якій газ не можна зрідити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1480" w:dyaOrig="780">
          <v:shape id="_x0000_i1034" type="#_x0000_t75" style="width:74.25pt;height:39pt" o:ole="" fillcolor="window">
            <v:imagedata r:id="rId24" o:title=""/>
          </v:shape>
          <o:OLEObject Type="Embed" ProgID="Equation.3" ShapeID="_x0000_i1034" DrawAspect="Content" ObjectID="_1366105255" r:id="rId25"/>
        </w:object>
      </w:r>
      <w:r>
        <w:rPr>
          <w:lang w:val="uk-UA"/>
        </w:rPr>
        <w:t xml:space="preserve">,    звідки    </w:t>
      </w:r>
      <w:r>
        <w:rPr>
          <w:position w:val="-28"/>
          <w:sz w:val="20"/>
          <w:lang w:val="uk-UA"/>
        </w:rPr>
        <w:object w:dxaOrig="1460" w:dyaOrig="720">
          <v:shape id="_x0000_i1035" type="#_x0000_t75" style="width:72.75pt;height:36pt" o:ole="" fillcolor="window">
            <v:imagedata r:id="rId2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5" DrawAspect="Content" ObjectID="_1366105256" r:id="rId27"/>
        </w:object>
      </w:r>
      <w:r>
        <w:rPr>
          <w:lang w:val="uk-UA"/>
        </w:rPr>
        <w:t>.</w:t>
      </w:r>
    </w:p>
    <w:p w:rsidR="00C63FE8" w:rsidRDefault="00C63FE8" w:rsidP="00C63FE8">
      <w:pPr>
        <w:ind w:firstLine="720"/>
        <w:jc w:val="both"/>
        <w:rPr>
          <w:lang w:val="uk-UA"/>
        </w:rPr>
      </w:pPr>
      <w:r>
        <w:rPr>
          <w:lang w:val="uk-UA"/>
        </w:rPr>
        <w:t xml:space="preserve">Підставивши отримані критичні параметри у рівняння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 xml:space="preserve">, маємо </w:t>
      </w:r>
      <w:r>
        <w:rPr>
          <w:u w:val="single"/>
          <w:lang w:val="uk-UA"/>
        </w:rPr>
        <w:t>критичний тиск – найбільший тиск насиченої пари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2380" w:dyaOrig="780">
          <v:shape id="_x0000_i1036" type="#_x0000_t75" style="width:119.25pt;height:39pt" o:ole="" fillcolor="window">
            <v:imagedata r:id="rId28" o:title=""/>
          </v:shape>
          <o:OLEObject Type="Embed" ProgID="Equation.3" ShapeID="_x0000_i1036" DrawAspect="Content" ObjectID="_1366105257" r:id="rId29"/>
        </w:object>
      </w:r>
      <w:r>
        <w:rPr>
          <w:lang w:val="uk-UA"/>
        </w:rPr>
        <w:t xml:space="preserve">,                                </w:t>
      </w:r>
      <w:r>
        <w:rPr>
          <w:position w:val="-34"/>
          <w:sz w:val="20"/>
          <w:lang w:val="uk-UA"/>
        </w:rPr>
        <w:object w:dxaOrig="1320" w:dyaOrig="780">
          <v:shape id="_x0000_i1037" type="#_x0000_t75" style="width:66pt;height:39pt" o:ole="" fillcolor="window">
            <v:imagedata r:id="rId3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7" DrawAspect="Content" ObjectID="_1366105258" r:id="rId31"/>
        </w:object>
      </w:r>
      <w:r>
        <w:rPr>
          <w:lang w:val="uk-UA"/>
        </w:rPr>
        <w:t>.</w:t>
      </w:r>
    </w:p>
    <w:p w:rsidR="00C63FE8" w:rsidRDefault="00C63FE8" w:rsidP="00C63FE8">
      <w:pPr>
        <w:jc w:val="both"/>
        <w:rPr>
          <w:lang w:val="uk-UA"/>
        </w:rPr>
      </w:pPr>
      <w:r>
        <w:rPr>
          <w:position w:val="-4"/>
          <w:sz w:val="20"/>
          <w:lang w:val="uk-UA"/>
        </w:rPr>
        <w:object w:dxaOrig="260" w:dyaOrig="279">
          <v:shape id="_x0000_i1038" type="#_x0000_t75" style="width:12.75pt;height:14.25pt" o:ole="" fillcolor="window">
            <v:imagedata r:id="rId32" o:title=""/>
          </v:shape>
          <o:OLEObject Type="Embed" ProgID="Equation.3" ShapeID="_x0000_i1038" DrawAspect="Content" ObjectID="_1366105259" r:id="rId33"/>
        </w:object>
      </w:r>
      <w:r>
        <w:rPr>
          <w:lang w:val="uk-UA"/>
        </w:rPr>
        <w:t xml:space="preserve"> можна вважати не універсальною газовою сталою, а деякою константою, яку знаходять з експерименту для кращого узгодження теорії і експерименту.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pStyle w:val="3"/>
        <w:jc w:val="center"/>
      </w:pPr>
      <w:r>
        <w:t>Методи визначення критичних параметрів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pStyle w:val="a3"/>
        <w:jc w:val="center"/>
        <w:rPr>
          <w:b/>
          <w:i/>
        </w:rPr>
      </w:pPr>
      <w:r>
        <w:rPr>
          <w:b/>
          <w:i/>
        </w:rPr>
        <w:t>(</w:t>
      </w:r>
      <w:proofErr w:type="spellStart"/>
      <w:r>
        <w:rPr>
          <w:b/>
          <w:i/>
        </w:rPr>
        <w:t>Сивухин</w:t>
      </w:r>
      <w:proofErr w:type="spellEnd"/>
      <w:r>
        <w:rPr>
          <w:b/>
          <w:i/>
        </w:rPr>
        <w:t>, §102, с.393-398)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u w:val="single"/>
          <w:lang w:val="uk-UA"/>
        </w:rPr>
        <w:t xml:space="preserve">Метод </w:t>
      </w:r>
      <w:proofErr w:type="spellStart"/>
      <w:r>
        <w:rPr>
          <w:u w:val="single"/>
          <w:lang w:val="uk-UA"/>
        </w:rPr>
        <w:t>Ендрюса</w:t>
      </w:r>
      <w:proofErr w:type="spellEnd"/>
      <w:r>
        <w:rPr>
          <w:lang w:val="uk-UA"/>
        </w:rPr>
        <w:t>. Незручно, бо потрібна велика кількість вимірів.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pStyle w:val="a3"/>
      </w:pPr>
      <w:r>
        <w:t xml:space="preserve">2. </w:t>
      </w:r>
      <w:r>
        <w:rPr>
          <w:u w:val="single"/>
        </w:rPr>
        <w:t xml:space="preserve">Метод зникаючого меніска </w:t>
      </w:r>
      <w:proofErr w:type="spellStart"/>
      <w:r>
        <w:rPr>
          <w:u w:val="single"/>
        </w:rPr>
        <w:t>Каньяра</w:t>
      </w:r>
      <w:proofErr w:type="spellEnd"/>
      <w:r>
        <w:rPr>
          <w:u w:val="single"/>
        </w:rPr>
        <w:t xml:space="preserve"> де </w:t>
      </w:r>
      <w:proofErr w:type="spellStart"/>
      <w:r>
        <w:rPr>
          <w:u w:val="single"/>
        </w:rPr>
        <w:t>ла</w:t>
      </w:r>
      <w:proofErr w:type="spellEnd"/>
      <w:r>
        <w:rPr>
          <w:u w:val="single"/>
        </w:rPr>
        <w:t xml:space="preserve"> Тур</w:t>
      </w:r>
      <w:r>
        <w:t>.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pStyle w:val="a3"/>
      </w:pPr>
      <w:r>
        <w:t xml:space="preserve">3. </w:t>
      </w:r>
      <w:r>
        <w:rPr>
          <w:u w:val="single"/>
        </w:rPr>
        <w:t>Метод Надєждіна</w:t>
      </w:r>
      <w:r>
        <w:t>.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 xml:space="preserve">4. </w:t>
      </w:r>
      <w:r>
        <w:rPr>
          <w:u w:val="single"/>
          <w:lang w:val="uk-UA"/>
        </w:rPr>
        <w:t xml:space="preserve">Метод Менделєєва і </w:t>
      </w:r>
      <w:proofErr w:type="spellStart"/>
      <w:r>
        <w:rPr>
          <w:u w:val="single"/>
          <w:lang w:val="uk-UA"/>
        </w:rPr>
        <w:t>Каньяра</w:t>
      </w:r>
      <w:proofErr w:type="spellEnd"/>
      <w:r>
        <w:rPr>
          <w:u w:val="single"/>
          <w:lang w:val="uk-UA"/>
        </w:rPr>
        <w:t xml:space="preserve"> де </w:t>
      </w:r>
      <w:proofErr w:type="spellStart"/>
      <w:r>
        <w:rPr>
          <w:u w:val="single"/>
          <w:lang w:val="uk-UA"/>
        </w:rPr>
        <w:t>ла</w:t>
      </w:r>
      <w:proofErr w:type="spellEnd"/>
      <w:r>
        <w:rPr>
          <w:u w:val="single"/>
          <w:lang w:val="uk-UA"/>
        </w:rPr>
        <w:t xml:space="preserve"> Тура</w:t>
      </w:r>
      <w:r>
        <w:rPr>
          <w:lang w:val="uk-UA"/>
        </w:rPr>
        <w:t>. З кулькою у трубі.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pStyle w:val="3"/>
        <w:jc w:val="center"/>
      </w:pPr>
      <w:r>
        <w:t xml:space="preserve">Зведене рівняння </w:t>
      </w:r>
      <w:proofErr w:type="spellStart"/>
      <w:r>
        <w:t>Ван-дер-Ваальса</w:t>
      </w:r>
      <w:proofErr w:type="spellEnd"/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ab/>
        <w:t xml:space="preserve">Нехай є рівняння </w:t>
      </w:r>
      <w:proofErr w:type="spellStart"/>
      <w:r>
        <w:rPr>
          <w:lang w:val="uk-UA"/>
        </w:rPr>
        <w:t>Ван-дер-Ваальса</w:t>
      </w:r>
      <w:proofErr w:type="spellEnd"/>
    </w:p>
    <w:p w:rsidR="00C63FE8" w:rsidRDefault="00C63FE8" w:rsidP="00C63FE8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2600" w:dyaOrig="859">
          <v:shape id="_x0000_i1039" type="#_x0000_t75" style="width:129.75pt;height:42.75pt" o:ole="" fillcolor="window">
            <v:imagedata r:id="rId5" o:title=""/>
          </v:shape>
          <o:OLEObject Type="Embed" ProgID="Equation.3" ShapeID="_x0000_i1039" DrawAspect="Content" ObjectID="_1366105260" r:id="rId34"/>
        </w:objec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>та критичні параметри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1320" w:dyaOrig="780">
          <v:shape id="_x0000_i1040" type="#_x0000_t75" style="width:66pt;height:39pt" o:ole="" fillcolor="window">
            <v:imagedata r:id="rId30" o:title=""/>
          </v:shape>
          <o:OLEObject Type="Embed" ProgID="Equation.3" ShapeID="_x0000_i1040" DrawAspect="Content" ObjectID="_1366105261" r:id="rId35"/>
        </w:object>
      </w:r>
      <w:r>
        <w:rPr>
          <w:lang w:val="uk-UA"/>
        </w:rPr>
        <w:t xml:space="preserve">;               </w:t>
      </w:r>
      <w:r>
        <w:rPr>
          <w:position w:val="-12"/>
          <w:sz w:val="20"/>
          <w:lang w:val="uk-UA"/>
        </w:rPr>
        <w:object w:dxaOrig="900" w:dyaOrig="380">
          <v:shape id="_x0000_i1041" type="#_x0000_t75" style="width:45pt;height:18.75pt" o:ole="" fillcolor="window">
            <v:imagedata r:id="rId22" o:title=""/>
          </v:shape>
          <o:OLEObject Type="Embed" ProgID="Equation.3" ShapeID="_x0000_i1041" DrawAspect="Content" ObjectID="_1366105262" r:id="rId36"/>
        </w:object>
      </w:r>
      <w:r>
        <w:rPr>
          <w:lang w:val="uk-UA"/>
        </w:rPr>
        <w:t xml:space="preserve">;             </w:t>
      </w:r>
      <w:r>
        <w:rPr>
          <w:position w:val="-28"/>
          <w:sz w:val="20"/>
          <w:lang w:val="uk-UA"/>
        </w:rPr>
        <w:object w:dxaOrig="1460" w:dyaOrig="720">
          <v:shape id="_x0000_i1042" type="#_x0000_t75" style="width:72.75pt;height:36pt" o:ole="" fillcolor="window">
            <v:imagedata r:id="rId26" o:title=""/>
          </v:shape>
          <o:OLEObject Type="Embed" ProgID="Equation.3" ShapeID="_x0000_i1042" DrawAspect="Content" ObjectID="_1366105263" r:id="rId37"/>
        </w:object>
      </w:r>
      <w:r>
        <w:rPr>
          <w:lang w:val="uk-UA"/>
        </w:rPr>
        <w:t>.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ab/>
        <w:t>Тепер введемо відносні параметри наступним чином :</w:t>
      </w:r>
    </w:p>
    <w:p w:rsidR="00C63FE8" w:rsidRDefault="00C63FE8" w:rsidP="00C63FE8">
      <w:pPr>
        <w:jc w:val="both"/>
        <w:rPr>
          <w:u w:val="single"/>
          <w:lang w:val="uk-UA"/>
        </w:rPr>
      </w:pPr>
      <w:r>
        <w:rPr>
          <w:u w:val="single"/>
          <w:lang w:val="uk-UA"/>
        </w:rPr>
        <w:t xml:space="preserve">відносний тиск 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900" w:dyaOrig="780">
          <v:shape id="_x0000_i1043" type="#_x0000_t75" style="width:45pt;height:39pt" o:ole="" fillcolor="window">
            <v:imagedata r:id="rId38" o:title=""/>
          </v:shape>
          <o:OLEObject Type="Embed" ProgID="Equation.3" ShapeID="_x0000_i1043" DrawAspect="Content" ObjectID="_1366105264" r:id="rId39"/>
        </w:object>
      </w:r>
      <w:r>
        <w:rPr>
          <w:lang w:val="uk-UA"/>
        </w:rPr>
        <w:t>;</w:t>
      </w:r>
    </w:p>
    <w:p w:rsidR="00C63FE8" w:rsidRDefault="00C63FE8" w:rsidP="00C63FE8">
      <w:pPr>
        <w:jc w:val="both"/>
        <w:rPr>
          <w:u w:val="single"/>
          <w:lang w:val="uk-UA"/>
        </w:rPr>
      </w:pPr>
      <w:r>
        <w:rPr>
          <w:u w:val="single"/>
          <w:lang w:val="uk-UA"/>
        </w:rPr>
        <w:t>відносний об’єм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880" w:dyaOrig="780">
          <v:shape id="_x0000_i1044" type="#_x0000_t75" style="width:44.25pt;height:39pt" o:ole="" fillcolor="window">
            <v:imagedata r:id="rId40" o:title=""/>
          </v:shape>
          <o:OLEObject Type="Embed" ProgID="Equation.3" ShapeID="_x0000_i1044" DrawAspect="Content" ObjectID="_1366105265" r:id="rId41"/>
        </w:object>
      </w:r>
      <w:r>
        <w:rPr>
          <w:lang w:val="uk-UA"/>
        </w:rPr>
        <w:t>;</w:t>
      </w:r>
    </w:p>
    <w:p w:rsidR="00C63FE8" w:rsidRDefault="00C63FE8" w:rsidP="00C63FE8">
      <w:pPr>
        <w:jc w:val="both"/>
        <w:rPr>
          <w:u w:val="single"/>
          <w:lang w:val="uk-UA"/>
        </w:rPr>
      </w:pPr>
      <w:r>
        <w:rPr>
          <w:u w:val="single"/>
          <w:lang w:val="uk-UA"/>
        </w:rPr>
        <w:t>відносна температура</w:t>
      </w:r>
    </w:p>
    <w:p w:rsidR="00C63FE8" w:rsidRDefault="00C63FE8" w:rsidP="00C63FE8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800" w:dyaOrig="780">
          <v:shape id="_x0000_i1045" type="#_x0000_t75" style="width:39.75pt;height:39pt" o:ole="" fillcolor="window">
            <v:imagedata r:id="rId42" o:title=""/>
          </v:shape>
          <o:OLEObject Type="Embed" ProgID="Equation.3" ShapeID="_x0000_i1045" DrawAspect="Content" ObjectID="_1366105266" r:id="rId43"/>
        </w:object>
      </w:r>
      <w:r>
        <w:rPr>
          <w:lang w:val="uk-UA"/>
        </w:rPr>
        <w:t>.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 xml:space="preserve">Зверніть увагу, що тут </w:t>
      </w:r>
      <w:r>
        <w:rPr>
          <w:position w:val="-10"/>
          <w:sz w:val="20"/>
          <w:lang w:val="uk-UA"/>
        </w:rPr>
        <w:object w:dxaOrig="980" w:dyaOrig="340">
          <v:shape id="_x0000_i1046" type="#_x0000_t75" style="width:48.75pt;height:17.25pt" o:ole="" fillcolor="window">
            <v:imagedata r:id="rId44" o:title=""/>
          </v:shape>
          <o:OLEObject Type="Embed" ProgID="Equation.3" ShapeID="_x0000_i1046" DrawAspect="Content" ObjectID="_1366105267" r:id="rId45"/>
        </w:object>
      </w:r>
      <w:r>
        <w:rPr>
          <w:lang w:val="uk-UA"/>
        </w:rPr>
        <w:t xml:space="preserve">, це просто грецький аналог латинського позначення ! 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ab/>
        <w:t>Виразимо всі параметри стану через відносні параметри :</w:t>
      </w:r>
    </w:p>
    <w:p w:rsidR="00C63FE8" w:rsidRDefault="00C63FE8" w:rsidP="00C63FE8">
      <w:pPr>
        <w:ind w:left="3600"/>
        <w:jc w:val="both"/>
        <w:rPr>
          <w:lang w:val="uk-UA"/>
        </w:rPr>
      </w:pPr>
      <w:r>
        <w:rPr>
          <w:position w:val="-34"/>
          <w:sz w:val="20"/>
          <w:lang w:val="uk-UA"/>
        </w:rPr>
        <w:object w:dxaOrig="2079" w:dyaOrig="780">
          <v:shape id="_x0000_i1047" type="#_x0000_t75" style="width:104.25pt;height:39pt" o:ole="" fillcolor="window">
            <v:imagedata r:id="rId46" o:title=""/>
          </v:shape>
          <o:OLEObject Type="Embed" ProgID="Equation.3" ShapeID="_x0000_i1047" DrawAspect="Content" ObjectID="_1366105268" r:id="rId47"/>
        </w:object>
      </w:r>
      <w:r>
        <w:rPr>
          <w:lang w:val="uk-UA"/>
        </w:rPr>
        <w:t>;</w:t>
      </w:r>
    </w:p>
    <w:p w:rsidR="00C63FE8" w:rsidRDefault="00C63FE8" w:rsidP="00C63FE8">
      <w:pPr>
        <w:ind w:left="3600"/>
        <w:jc w:val="both"/>
        <w:rPr>
          <w:lang w:val="uk-UA"/>
        </w:rPr>
      </w:pPr>
      <w:r>
        <w:rPr>
          <w:position w:val="-12"/>
          <w:sz w:val="20"/>
          <w:lang w:val="uk-UA"/>
        </w:rPr>
        <w:object w:dxaOrig="1780" w:dyaOrig="380">
          <v:shape id="_x0000_i1048" type="#_x0000_t75" style="width:89.25pt;height:18.75pt" o:ole="" fillcolor="window">
            <v:imagedata r:id="rId48" o:title=""/>
          </v:shape>
          <o:OLEObject Type="Embed" ProgID="Equation.3" ShapeID="_x0000_i1048" DrawAspect="Content" ObjectID="_1366105269" r:id="rId49"/>
        </w:object>
      </w:r>
      <w:r>
        <w:rPr>
          <w:lang w:val="uk-UA"/>
        </w:rPr>
        <w:t>;</w:t>
      </w:r>
    </w:p>
    <w:p w:rsidR="00C63FE8" w:rsidRDefault="00C63FE8" w:rsidP="00C63FE8">
      <w:pPr>
        <w:ind w:left="3600"/>
        <w:jc w:val="both"/>
        <w:rPr>
          <w:lang w:val="uk-UA"/>
        </w:rPr>
      </w:pPr>
      <w:r>
        <w:rPr>
          <w:position w:val="-28"/>
          <w:sz w:val="20"/>
          <w:lang w:val="uk-UA"/>
        </w:rPr>
        <w:object w:dxaOrig="2260" w:dyaOrig="720">
          <v:shape id="_x0000_i1049" type="#_x0000_t75" style="width:113.25pt;height:36pt" o:ole="" fillcolor="window">
            <v:imagedata r:id="rId50" o:title=""/>
          </v:shape>
          <o:OLEObject Type="Embed" ProgID="Equation.3" ShapeID="_x0000_i1049" DrawAspect="Content" ObjectID="_1366105270" r:id="rId51"/>
        </w:object>
      </w:r>
      <w:r>
        <w:rPr>
          <w:lang w:val="uk-UA"/>
        </w:rPr>
        <w:t>.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 xml:space="preserve">Підставивши їх у рівняння </w:t>
      </w:r>
      <w:proofErr w:type="spellStart"/>
      <w:r>
        <w:rPr>
          <w:lang w:val="uk-UA"/>
        </w:rPr>
        <w:t>Ван-дер-Ваальса</w:t>
      </w:r>
      <w:proofErr w:type="spellEnd"/>
    </w:p>
    <w:p w:rsidR="00C63FE8" w:rsidRDefault="00C63FE8" w:rsidP="00C63FE8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2600" w:dyaOrig="859">
          <v:shape id="_x0000_i1050" type="#_x0000_t75" style="width:129.75pt;height:42.75pt" o:ole="" fillcolor="window">
            <v:imagedata r:id="rId52" o:title=""/>
          </v:shape>
          <o:OLEObject Type="Embed" ProgID="Equation.3" ShapeID="_x0000_i1050" DrawAspect="Content" ObjectID="_1366105271" r:id="rId53"/>
        </w:object>
      </w:r>
      <w:r>
        <w:rPr>
          <w:lang w:val="uk-UA"/>
        </w:rPr>
        <w:t>;</w:t>
      </w:r>
    </w:p>
    <w:p w:rsidR="00C63FE8" w:rsidRDefault="00C63FE8" w:rsidP="00C63FE8">
      <w:pPr>
        <w:jc w:val="center"/>
        <w:rPr>
          <w:lang w:val="uk-UA"/>
        </w:rPr>
      </w:pPr>
      <w:r>
        <w:rPr>
          <w:noProof/>
          <w:position w:val="-36"/>
          <w:sz w:val="20"/>
          <w:lang w:val="ru-RU"/>
        </w:rPr>
        <w:drawing>
          <wp:inline distT="0" distB="0" distL="0" distR="0">
            <wp:extent cx="3057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,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 xml:space="preserve">отримаємо зведене рівняння </w:t>
      </w:r>
      <w:proofErr w:type="spellStart"/>
      <w:r>
        <w:rPr>
          <w:lang w:val="uk-UA"/>
        </w:rPr>
        <w:t>Ван-дер-Ваальса</w:t>
      </w:r>
      <w:proofErr w:type="spellEnd"/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2680" w:dyaOrig="859">
          <v:shape id="_x0000_i1051" type="#_x0000_t75" style="width:134.25pt;height:42.75pt" o:ole="" fillcolor="window">
            <v:imagedata r:id="rId5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1" DrawAspect="Content" ObjectID="_1366105272" r:id="rId56"/>
        </w:object>
      </w:r>
      <w:r>
        <w:rPr>
          <w:lang w:val="uk-UA"/>
        </w:rPr>
        <w:t>.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ind w:firstLine="720"/>
        <w:jc w:val="both"/>
        <w:rPr>
          <w:lang w:val="uk-UA"/>
        </w:rPr>
      </w:pPr>
      <w:r>
        <w:rPr>
          <w:lang w:val="uk-UA"/>
        </w:rPr>
        <w:t xml:space="preserve">У такому вигляді рівняння стану не містить ніяких індивідуальних параметрів речовини, воно є узагальненим. (Пам’ятаєте, розподіл Максвелла через відносні швидкості ?) Отже, </w:t>
      </w:r>
      <w:r>
        <w:rPr>
          <w:u w:val="single"/>
          <w:lang w:val="uk-UA"/>
        </w:rPr>
        <w:t>зведені рівняння стану однакові для всіх речовин</w:t>
      </w:r>
      <w:r>
        <w:rPr>
          <w:lang w:val="uk-UA"/>
        </w:rPr>
        <w:t xml:space="preserve">. Цей висновок має більш загальний характер, ніж рівняння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>, з якого він був отриманий.</w:t>
      </w:r>
    </w:p>
    <w:p w:rsidR="00C63FE8" w:rsidRDefault="00C63FE8" w:rsidP="00C63FE8">
      <w:pPr>
        <w:ind w:firstLine="720"/>
        <w:jc w:val="both"/>
        <w:rPr>
          <w:lang w:val="uk-UA"/>
        </w:rPr>
      </w:pPr>
      <w:r>
        <w:rPr>
          <w:lang w:val="uk-UA"/>
        </w:rPr>
        <w:t xml:space="preserve">Це зведене рівняння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 xml:space="preserve"> ґрунтується на основі </w:t>
      </w:r>
      <w:r>
        <w:rPr>
          <w:b/>
          <w:u w:val="single"/>
          <w:lang w:val="uk-UA"/>
        </w:rPr>
        <w:t>закону відповідних станів</w:t>
      </w:r>
      <w:r>
        <w:rPr>
          <w:lang w:val="uk-UA"/>
        </w:rPr>
        <w:t xml:space="preserve">, який сформулював бельгійський фізик </w:t>
      </w:r>
      <w:proofErr w:type="spellStart"/>
      <w:r>
        <w:rPr>
          <w:lang w:val="uk-UA"/>
        </w:rPr>
        <w:t>Хеєн</w:t>
      </w:r>
      <w:proofErr w:type="spellEnd"/>
      <w:r>
        <w:rPr>
          <w:lang w:val="uk-UA"/>
        </w:rPr>
        <w:t xml:space="preserve">. Згідно із цим законом, </w:t>
      </w:r>
      <w:r>
        <w:rPr>
          <w:b/>
          <w:u w:val="single"/>
          <w:lang w:val="uk-UA"/>
        </w:rPr>
        <w:t>якщо дві різні за хімічною природою речовини мають два (з трьох) зведених параметрів рівними між собою, то й третій параметр буде однаковим для обох речовин</w:t>
      </w:r>
      <w:r>
        <w:rPr>
          <w:lang w:val="uk-UA"/>
        </w:rPr>
        <w:t xml:space="preserve"> :</w:t>
      </w:r>
    </w:p>
    <w:p w:rsidR="00C63FE8" w:rsidRDefault="00C63FE8" w:rsidP="00C63FE8">
      <w:pPr>
        <w:ind w:firstLine="720"/>
        <w:jc w:val="both"/>
        <w:rPr>
          <w:lang w:val="uk-UA"/>
        </w:rPr>
      </w:pPr>
    </w:p>
    <w:p w:rsidR="00C63FE8" w:rsidRDefault="00C63FE8" w:rsidP="00C63FE8">
      <w:pPr>
        <w:jc w:val="center"/>
        <w:rPr>
          <w:lang w:val="uk-UA"/>
        </w:rPr>
      </w:pPr>
      <w:r>
        <w:rPr>
          <w:position w:val="-12"/>
          <w:lang w:val="uk-UA"/>
        </w:rPr>
        <w:object w:dxaOrig="820" w:dyaOrig="380">
          <v:shape id="_x0000_i1052" type="#_x0000_t75" style="width:41.25pt;height:18.75pt" o:ole="" fillcolor="window">
            <v:imagedata r:id="rId57" o:title=""/>
          </v:shape>
          <o:OLEObject Type="Embed" ProgID="Equation.3" ShapeID="_x0000_i1052" DrawAspect="Content" ObjectID="_1366105273" r:id="rId58"/>
        </w:object>
      </w:r>
      <w:r>
        <w:rPr>
          <w:lang w:val="uk-UA"/>
        </w:rPr>
        <w:t xml:space="preserve"> ; </w:t>
      </w:r>
      <w:r>
        <w:rPr>
          <w:position w:val="-12"/>
          <w:lang w:val="uk-UA"/>
        </w:rPr>
        <w:object w:dxaOrig="920" w:dyaOrig="380">
          <v:shape id="_x0000_i1053" type="#_x0000_t75" style="width:45.75pt;height:18.75pt" o:ole="" fillcolor="window">
            <v:imagedata r:id="rId59" o:title=""/>
          </v:shape>
          <o:OLEObject Type="Embed" ProgID="Equation.3" ShapeID="_x0000_i1053" DrawAspect="Content" ObjectID="_1366105274" r:id="rId60"/>
        </w:object>
      </w:r>
      <w:r>
        <w:rPr>
          <w:lang w:val="uk-UA"/>
        </w:rPr>
        <w:t xml:space="preserve">;    </w:t>
      </w:r>
      <w:r>
        <w:rPr>
          <w:position w:val="-6"/>
          <w:lang w:val="uk-UA"/>
        </w:rPr>
        <w:object w:dxaOrig="340" w:dyaOrig="260">
          <v:shape id="_x0000_i1054" type="#_x0000_t75" style="width:17.25pt;height:12.75pt" o:ole="" fillcolor="window">
            <v:imagedata r:id="rId61" o:title=""/>
          </v:shape>
          <o:OLEObject Type="Embed" ProgID="Equation.3" ShapeID="_x0000_i1054" DrawAspect="Content" ObjectID="_1366105275" r:id="rId62"/>
        </w:object>
      </w:r>
      <w:r>
        <w:rPr>
          <w:lang w:val="uk-UA"/>
        </w:rPr>
        <w:t xml:space="preserve">   </w:t>
      </w:r>
      <w:r>
        <w:rPr>
          <w:position w:val="-12"/>
          <w:lang w:val="uk-UA"/>
        </w:rPr>
        <w:object w:dxaOrig="960" w:dyaOrig="380">
          <v:shape id="_x0000_i1055" type="#_x0000_t75" style="width:48pt;height:18.75pt" o:ole="" fillcolor="window">
            <v:imagedata r:id="rId63" o:title=""/>
          </v:shape>
          <o:OLEObject Type="Embed" ProgID="Equation.3" ShapeID="_x0000_i1055" DrawAspect="Content" ObjectID="_1366105276" r:id="rId64"/>
        </w:object>
      </w:r>
      <w:r>
        <w:rPr>
          <w:lang w:val="uk-UA"/>
        </w:rPr>
        <w:t>.</w:t>
      </w:r>
    </w:p>
    <w:p w:rsidR="00C63FE8" w:rsidRDefault="00C63FE8" w:rsidP="00C63FE8">
      <w:pPr>
        <w:jc w:val="center"/>
        <w:rPr>
          <w:lang w:val="uk-UA"/>
        </w:rPr>
      </w:pP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ab/>
        <w:t>За допомогою закону відповідних станів можна обчислити невідомі ізотерми реальних газів, якщо відомі їхні критичні параметри і побудовані ізотерми інших газів.</w:t>
      </w:r>
    </w:p>
    <w:p w:rsidR="00C63FE8" w:rsidRDefault="00C63FE8" w:rsidP="00C63FE8">
      <w:pPr>
        <w:jc w:val="both"/>
        <w:rPr>
          <w:lang w:val="uk-UA"/>
        </w:rPr>
      </w:pPr>
      <w:r>
        <w:rPr>
          <w:lang w:val="uk-UA"/>
        </w:rPr>
        <w:tab/>
        <w:t>За законом відповідних станів оцінюють температуру і тиск, при яких газ шляхом стискання можна перевести у рідкий стан. Для цього використовують критичні параметри та значення зведених параметрів, при яких інший газ переходить у рідину.</w:t>
      </w: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both"/>
        <w:rPr>
          <w:lang w:val="uk-UA"/>
        </w:rPr>
      </w:pPr>
    </w:p>
    <w:p w:rsidR="00C63FE8" w:rsidRDefault="00C63FE8" w:rsidP="00C63FE8">
      <w:pPr>
        <w:jc w:val="both"/>
        <w:rPr>
          <w:lang w:val="uk-UA"/>
        </w:rPr>
      </w:pPr>
    </w:p>
    <w:p w:rsidR="001D4AE2" w:rsidRPr="00C63FE8" w:rsidRDefault="00C63FE8">
      <w:pPr>
        <w:rPr>
          <w:lang w:val="uk-UA"/>
        </w:rPr>
      </w:pPr>
      <w:bookmarkStart w:id="0" w:name="_GoBack"/>
      <w:bookmarkEnd w:id="0"/>
    </w:p>
    <w:sectPr w:rsidR="001D4AE2" w:rsidRPr="00C6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E8"/>
    <w:rsid w:val="00581D68"/>
    <w:rsid w:val="00C63FE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E8"/>
    <w:pPr>
      <w:keepNext/>
      <w:jc w:val="both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E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C63FE8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63F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F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FE8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E8"/>
    <w:pPr>
      <w:keepNext/>
      <w:jc w:val="both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E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C63FE8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63F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F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FE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8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2011-05-05T09:54:00Z</dcterms:created>
  <dcterms:modified xsi:type="dcterms:W3CDTF">2011-05-05T09:54:00Z</dcterms:modified>
</cp:coreProperties>
</file>