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2C" w:rsidRDefault="0082682C" w:rsidP="0082682C">
      <w:pPr>
        <w:pStyle w:val="1"/>
      </w:pPr>
      <w:r>
        <w:t xml:space="preserve">Термодинамічні потенціали. Співвідношення Максвелла </w:t>
      </w:r>
    </w:p>
    <w:p w:rsidR="0082682C" w:rsidRDefault="0082682C" w:rsidP="0082682C">
      <w:pPr>
        <w:pStyle w:val="1"/>
      </w:pPr>
      <w:r>
        <w:t xml:space="preserve">і рівняння </w:t>
      </w:r>
      <w:proofErr w:type="spellStart"/>
      <w:r>
        <w:t>Гіббса-Гельмгольця</w:t>
      </w:r>
      <w:proofErr w:type="spellEnd"/>
      <w:r>
        <w:t xml:space="preserve"> </w:t>
      </w:r>
    </w:p>
    <w:p w:rsidR="0082682C" w:rsidRDefault="0082682C" w:rsidP="0082682C">
      <w:pPr>
        <w:jc w:val="both"/>
        <w:rPr>
          <w:lang w:val="uk-UA"/>
        </w:rPr>
      </w:pP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 xml:space="preserve">Існують певні величини, що характеризують стан системи. Дуже часто зв’язок між цими величинами неможливо встановити методами формальної термодинаміки. Деякі співвідношення нам вдалось встановити методом циклів </w:t>
      </w:r>
      <w:proofErr w:type="spellStart"/>
      <w:r>
        <w:rPr>
          <w:lang w:val="uk-UA"/>
        </w:rPr>
        <w:t>Карно</w:t>
      </w:r>
      <w:proofErr w:type="spellEnd"/>
      <w:r>
        <w:rPr>
          <w:lang w:val="uk-UA"/>
        </w:rPr>
        <w:t xml:space="preserve"> : ми ввели абсолютну термодинамічну шкалу температур, отримали закон Джоуля та співвідношення Роберта </w:t>
      </w:r>
      <w:proofErr w:type="spellStart"/>
      <w:r>
        <w:rPr>
          <w:lang w:val="uk-UA"/>
        </w:rPr>
        <w:t>Майєра</w:t>
      </w:r>
      <w:proofErr w:type="spellEnd"/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 xml:space="preserve">Поряд з методом циклів, аналогічні співвідношення може дати метод термодинамічних потенціалів, або метод характеристичних функцій, запропонований </w:t>
      </w:r>
      <w:proofErr w:type="spellStart"/>
      <w:r>
        <w:rPr>
          <w:lang w:val="uk-UA"/>
        </w:rPr>
        <w:t>Гіббсом</w:t>
      </w:r>
      <w:proofErr w:type="spellEnd"/>
      <w:r>
        <w:rPr>
          <w:lang w:val="uk-UA"/>
        </w:rPr>
        <w:t>. Цей метод є аналітичним методом опису термодинамічної системи, та ґрунтується на термодинамічній тотожності для оборотних процесів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8pt" o:ole="" fillcolor="window">
            <v:imagedata r:id="rId5" o:title=""/>
          </v:shape>
          <o:OLEObject Type="Embed" ProgID="Equation.3" ShapeID="_x0000_i1025" DrawAspect="Content" ObjectID="_1366105077" r:id="rId6"/>
        </w:object>
      </w:r>
      <w:r>
        <w:rPr>
          <w:lang w:val="uk-UA"/>
        </w:rPr>
        <w:t>.</w:t>
      </w:r>
    </w:p>
    <w:p w:rsidR="0082682C" w:rsidRDefault="0082682C" w:rsidP="0082682C">
      <w:pPr>
        <w:ind w:firstLine="720"/>
        <w:jc w:val="both"/>
        <w:rPr>
          <w:lang w:val="uk-UA"/>
        </w:rPr>
      </w:pPr>
      <w:r>
        <w:rPr>
          <w:lang w:val="uk-UA"/>
        </w:rPr>
        <w:t>Це рівняння пов’язує п’ять фізичних величин, що визначають стан системи, що перебуває у термодинамічній рівновазі. Кожна з п’яти величин є параметром стану системи, а також функцією стану (ми використовуємо для кожної з них повні диференціали, а не функціонали).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>Як знайти ці величини, що характеризують стан системи ? Ми можемо вибрати дві величини у якості незалежних змінних. Але у нас залишається ще три невідомих, для знаходження яких потрібно ще два рівняння. Це можуть бути термічне рівняння стану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12"/>
          <w:lang w:val="uk-UA"/>
        </w:rPr>
        <w:object w:dxaOrig="1579" w:dyaOrig="380">
          <v:shape id="_x0000_i1026" type="#_x0000_t75" style="width:78.75pt;height:18.75pt" o:ole="" fillcolor="window">
            <v:imagedata r:id="rId7" o:title=""/>
          </v:shape>
          <o:OLEObject Type="Embed" ProgID="Equation.3" ShapeID="_x0000_i1026" DrawAspect="Content" ObjectID="_1366105078" r:id="rId8"/>
        </w:objec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 xml:space="preserve">та </w:t>
      </w:r>
      <w:proofErr w:type="spellStart"/>
      <w:r>
        <w:rPr>
          <w:lang w:val="uk-UA"/>
        </w:rPr>
        <w:t>калоричне</w:t>
      </w:r>
      <w:proofErr w:type="spellEnd"/>
      <w:r>
        <w:rPr>
          <w:lang w:val="uk-UA"/>
        </w:rPr>
        <w:t xml:space="preserve"> рівняння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10"/>
          <w:lang w:val="uk-UA"/>
        </w:rPr>
        <w:object w:dxaOrig="1400" w:dyaOrig="360">
          <v:shape id="_x0000_i1027" type="#_x0000_t75" style="width:69.75pt;height:18pt" o:ole="" fillcolor="window">
            <v:imagedata r:id="rId9" o:title=""/>
          </v:shape>
          <o:OLEObject Type="Embed" ProgID="Equation.3" ShapeID="_x0000_i1027" DrawAspect="Content" ObjectID="_1366105079" r:id="rId10"/>
        </w:object>
      </w:r>
      <w:r>
        <w:rPr>
          <w:lang w:val="uk-UA"/>
        </w:rPr>
        <w:t>.</w:t>
      </w:r>
    </w:p>
    <w:p w:rsidR="0082682C" w:rsidRDefault="0082682C" w:rsidP="0082682C">
      <w:pPr>
        <w:pStyle w:val="a3"/>
      </w:pPr>
      <w:r>
        <w:tab/>
        <w:t>Термодинаміка не може дати нам ці співвідношення, оскільки вона не спирається на модельні уявлення. Якщо скористатися моделлю, то отриманий результат буде справедливим лише у межах запропонованої моделі.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 xml:space="preserve">Але ці співвідношення можна отримати методом термодинамічних потенціалів </w:t>
      </w:r>
      <w:proofErr w:type="spellStart"/>
      <w:r>
        <w:rPr>
          <w:lang w:val="uk-UA"/>
        </w:rPr>
        <w:t>Гіббса</w:t>
      </w:r>
      <w:proofErr w:type="spellEnd"/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>Починаємо розглядати потенціали.</w:t>
      </w:r>
    </w:p>
    <w:p w:rsidR="0082682C" w:rsidRDefault="0082682C" w:rsidP="0082682C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-126365</wp:posOffset>
                </wp:positionV>
                <wp:extent cx="477520" cy="415290"/>
                <wp:effectExtent l="0" t="381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82C" w:rsidRDefault="0082682C" w:rsidP="0082682C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2DF65F14" wp14:editId="5FAA60D3">
                                  <wp:extent cx="295275" cy="323850"/>
                                  <wp:effectExtent l="0" t="0" r="9525" b="0"/>
                                  <wp:docPr id="1" name="Рисунок 1" descr="11_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11_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-9.95pt;width:37.6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JejgIAAA4FAAAOAAAAZHJzL2Uyb0RvYy54bWysVF2O0zAQfkfiDpbfu/lRum2ipqttlyKk&#10;5UdaOIAbO42FYxvbbbIgzsIpeELiDD0SY6ftlgUkhMiDY3vGn2fm+8azq74VaMeM5UqWOLmIMWKy&#10;UpTLTYnfvV2NphhZRyQlQklW4ntm8dX86ZNZpwuWqkYJygwCEGmLTpe4cU4XUWSrhrXEXijNJBhr&#10;ZVriYGk2ETWkA/RWRGkcX0adMlQbVTFrYfdmMOJ5wK9rVrnXdW2ZQ6LEEJsLownj2o/RfEaKjSG6&#10;4dUhDPIPUbSES7j0BHVDHEFbw3+BanlllFW1u6hUG6m65hULOUA2Sfwom7uGaBZygeJYfSqT/X+w&#10;1avdG4M4LXGKkSQtULT/sv++/7b/ilJfnU7bApzuNLi5fqF6YDlkavWtqt5bJNWyIXLDro1RXcMI&#10;hegSfzI6OzrgWA+y7l4qCteQrVMBqK9N60sHxUCADizdn5hhvUMVbGaTyTgFSwWmLBmneWAuIsXx&#10;sDbWPWeqRX5SYgPEB3Cyu7XOB0OKo4u/yyrB6YoLERZms14Kg3YERLIKX4j/kZuQ3lkqf2xAHHYg&#10;RrjD23y0gfRPeZJm8SLNR6vL6WSUrbLxKJ/E01Gc5Iv8Ms7y7Gb12QeYZEXDKWXylkt2FGCS/R3B&#10;h1YYpBMkiLoS5+N0PDD0xyTj8P0uyZY76EfB2xJPT06k8Lw+kxTSJoUjXAzz6OfwQ5WhBsd/qEpQ&#10;gSd+kIDr1z2geGmsFb0HPRgFfAG18IjApFHmI0YdNGSJ7YctMQwj8UKCpvIky3wHh0U2nng5mHPL&#10;+txCZAVQJXYYDdOlG7p+qw3fNHDToGKprkGHNQ8aeYjqoF5oupDM4YHwXX2+Dl4Pz9j8BwAAAP//&#10;AwBQSwMEFAAGAAgAAAAhAM5D2ofdAAAACQEAAA8AAABkcnMvZG93bnJldi54bWxMj89Og0AQh+8m&#10;vsNmTLyYdqEWKsjSqInGa2sfYGC3QGRnCbst9O2dnuxt/nz5zTfFdra9OJvRd44UxMsIhKHa6Y4a&#10;BYefz8ULCB+QNPaOjIKL8bAt7+8KzLWbaGfO+9AIDiGfo4I2hCGX0tetseiXbjDEu6MbLQZux0bq&#10;EScOt71cRVEqLXbEF1oczEdr6t/9ySo4fk9PSTZVX+Gw2a3Td+w2lbso9fgwv72CCGYO/zBc9Vkd&#10;Snaq3Im0F72CRfwcM3otsgwEE+mKB5WCdZKALAt5+0H5BwAA//8DAFBLAQItABQABgAIAAAAIQC2&#10;gziS/gAAAOEBAAATAAAAAAAAAAAAAAAAAAAAAABbQ29udGVudF9UeXBlc10ueG1sUEsBAi0AFAAG&#10;AAgAAAAhADj9If/WAAAAlAEAAAsAAAAAAAAAAAAAAAAALwEAAF9yZWxzLy5yZWxzUEsBAi0AFAAG&#10;AAgAAAAhACWlQl6OAgAADgUAAA4AAAAAAAAAAAAAAAAALgIAAGRycy9lMm9Eb2MueG1sUEsBAi0A&#10;FAAGAAgAAAAhAM5D2ofdAAAACQEAAA8AAAAAAAAAAAAAAAAA6AQAAGRycy9kb3ducmV2LnhtbFBL&#10;BQYAAAAABAAEAPMAAADyBQAAAAA=&#10;" o:allowincell="f" stroked="f">
                <v:textbox>
                  <w:txbxContent>
                    <w:p w:rsidR="0082682C" w:rsidRDefault="0082682C" w:rsidP="0082682C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2DF65F14" wp14:editId="5FAA60D3">
                            <wp:extent cx="295275" cy="323850"/>
                            <wp:effectExtent l="0" t="0" r="9525" b="0"/>
                            <wp:docPr id="1" name="Рисунок 1" descr="11_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11_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Візьмемо термодинамічну тотожність і перепишемо її у вигляді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 id="_x0000_i1028" type="#_x0000_t75" style="width:99pt;height:18pt" o:ole="" fillcolor="window">
            <v:imagedata r:id="rId12" o:title=""/>
          </v:shape>
          <o:OLEObject Type="Embed" ProgID="Equation.3" ShapeID="_x0000_i1028" DrawAspect="Content" ObjectID="_1366105080" r:id="rId13"/>
        </w:object>
      </w:r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 xml:space="preserve">За незалежні змінні виберемо ентропію </w:t>
      </w:r>
      <w:r>
        <w:rPr>
          <w:position w:val="-6"/>
          <w:lang w:val="uk-UA"/>
        </w:rPr>
        <w:object w:dxaOrig="240" w:dyaOrig="300">
          <v:shape id="_x0000_i1029" type="#_x0000_t75" style="width:12pt;height:15pt" o:ole="" fillcolor="window">
            <v:imagedata r:id="rId14" o:title=""/>
          </v:shape>
          <o:OLEObject Type="Embed" ProgID="Equation.3" ShapeID="_x0000_i1029" DrawAspect="Content" ObjectID="_1366105081" r:id="rId15"/>
        </w:object>
      </w:r>
      <w:r>
        <w:rPr>
          <w:lang w:val="uk-UA"/>
        </w:rPr>
        <w:t xml:space="preserve"> та об’єм </w:t>
      </w:r>
      <w:r>
        <w:rPr>
          <w:position w:val="-6"/>
          <w:lang w:val="uk-UA"/>
        </w:rPr>
        <w:object w:dxaOrig="260" w:dyaOrig="300">
          <v:shape id="_x0000_i1030" type="#_x0000_t75" style="width:12.75pt;height:15pt" o:ole="" fillcolor="window">
            <v:imagedata r:id="rId16" o:title=""/>
          </v:shape>
          <o:OLEObject Type="Embed" ProgID="Equation.3" ShapeID="_x0000_i1030" DrawAspect="Content" ObjectID="_1366105082" r:id="rId17"/>
        </w:object>
      </w:r>
      <w:r>
        <w:rPr>
          <w:lang w:val="uk-UA"/>
        </w:rPr>
        <w:t xml:space="preserve">. Залежна від цих змінних </w:t>
      </w:r>
      <w:r>
        <w:rPr>
          <w:b/>
          <w:u w:val="single"/>
          <w:lang w:val="uk-UA"/>
        </w:rPr>
        <w:t>внутрішня енергія є термодинамічним потенціалом</w:t>
      </w:r>
      <w:r>
        <w:rPr>
          <w:lang w:val="uk-UA"/>
        </w:rPr>
        <w:t xml:space="preserve">, або характеристичною функцією. Зауважте, внутрішня енергія є термодинамічним потенціалом лише коли вона залежить від ентропії і температури </w:t>
      </w:r>
      <w:r>
        <w:rPr>
          <w:position w:val="-10"/>
          <w:lang w:val="uk-UA"/>
        </w:rPr>
        <w:object w:dxaOrig="1380" w:dyaOrig="360">
          <v:shape id="_x0000_i1031" type="#_x0000_t75" style="width:69pt;height:18pt" o:ole="" fillcolor="window">
            <v:imagedata r:id="rId1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1" DrawAspect="Content" ObjectID="_1366105083" r:id="rId19"/>
        </w:object>
      </w:r>
      <w:r>
        <w:rPr>
          <w:lang w:val="uk-UA"/>
        </w:rPr>
        <w:t xml:space="preserve">. Коли внутрішня енергія залежить від інших змінних, вона не буде термодинамічним потенціалом. 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>Запишемо повний диференціал внутрішньої енергії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36"/>
          <w:lang w:val="uk-UA"/>
        </w:rPr>
        <w:object w:dxaOrig="3420" w:dyaOrig="820">
          <v:shape id="_x0000_i1032" type="#_x0000_t75" style="width:171pt;height:41.25pt" o:ole="" fillcolor="window">
            <v:imagedata r:id="rId20" o:title=""/>
          </v:shape>
          <o:OLEObject Type="Embed" ProgID="Equation.3" ShapeID="_x0000_i1032" DrawAspect="Content" ObjectID="_1366105084" r:id="rId21"/>
        </w:object>
      </w:r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lastRenderedPageBreak/>
        <w:t>Порівнявши його із термодинамічною тотожністю, можемо записати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36"/>
          <w:lang w:val="uk-UA"/>
        </w:rPr>
        <w:object w:dxaOrig="1380" w:dyaOrig="820">
          <v:shape id="_x0000_i1033" type="#_x0000_t75" style="width:69pt;height:41.25pt" o:ole="" fillcolor="window">
            <v:imagedata r:id="rId2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3" DrawAspect="Content" ObjectID="_1366105085" r:id="rId23"/>
        </w:object>
      </w:r>
      <w:r>
        <w:rPr>
          <w:lang w:val="uk-UA"/>
        </w:rPr>
        <w:t xml:space="preserve">;             </w:t>
      </w:r>
      <w:r>
        <w:rPr>
          <w:position w:val="-36"/>
          <w:lang w:val="uk-UA"/>
        </w:rPr>
        <w:object w:dxaOrig="1520" w:dyaOrig="820">
          <v:shape id="_x0000_i1034" type="#_x0000_t75" style="width:75.75pt;height:41.25pt" o:ole="" fillcolor="window">
            <v:imagedata r:id="rId2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4" DrawAspect="Content" ObjectID="_1366105086" r:id="rId25"/>
        </w:object>
      </w:r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>З цих співвідношень випливає, що температура є мірою збільшення внутрішньої енергії при збільшенні ентропії за сталого об’єму, а тиск – мірою її зменшення при ізоентропійному (адіабатному) збільшенні об’єму.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 xml:space="preserve">Температура </w:t>
      </w:r>
      <w:r>
        <w:rPr>
          <w:position w:val="-4"/>
          <w:lang w:val="uk-UA"/>
        </w:rPr>
        <w:object w:dxaOrig="240" w:dyaOrig="279">
          <v:shape id="_x0000_i1035" type="#_x0000_t75" style="width:12pt;height:14.25pt" o:ole="" fillcolor="window">
            <v:imagedata r:id="rId26" o:title=""/>
          </v:shape>
          <o:OLEObject Type="Embed" ProgID="Equation.3" ShapeID="_x0000_i1035" DrawAspect="Content" ObjectID="_1366105087" r:id="rId27"/>
        </w:object>
      </w:r>
      <w:r>
        <w:rPr>
          <w:lang w:val="uk-UA"/>
        </w:rPr>
        <w:t xml:space="preserve"> і тиск </w:t>
      </w:r>
      <w:r>
        <w:rPr>
          <w:position w:val="-12"/>
          <w:lang w:val="uk-UA"/>
        </w:rPr>
        <w:object w:dxaOrig="260" w:dyaOrig="300">
          <v:shape id="_x0000_i1036" type="#_x0000_t75" style="width:12.75pt;height:15pt" o:ole="" fillcolor="window">
            <v:imagedata r:id="rId28" o:title=""/>
          </v:shape>
          <o:OLEObject Type="Embed" ProgID="Equation.3" ShapeID="_x0000_i1036" DrawAspect="Content" ObjectID="_1366105088" r:id="rId29"/>
        </w:object>
      </w:r>
      <w:r>
        <w:rPr>
          <w:lang w:val="uk-UA"/>
        </w:rPr>
        <w:t xml:space="preserve"> є параметрами стану системи, які ми можемо знайти із наведених співвідношень, знаючи загальний вигляд внутрішньої енергії. Зв’язок між цими параметрами можна встановити наступним чином. </w:t>
      </w:r>
      <w:proofErr w:type="spellStart"/>
      <w:r>
        <w:rPr>
          <w:lang w:val="uk-UA"/>
        </w:rPr>
        <w:t>Продиференціюємо</w:t>
      </w:r>
      <w:proofErr w:type="spellEnd"/>
      <w:r>
        <w:rPr>
          <w:lang w:val="uk-UA"/>
        </w:rPr>
        <w:t xml:space="preserve"> кожний із параметрів по параметру, який досі вважали сталим :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36"/>
          <w:lang w:val="uk-UA"/>
        </w:rPr>
        <w:object w:dxaOrig="1820" w:dyaOrig="900">
          <v:shape id="_x0000_i1037" type="#_x0000_t75" style="width:90.75pt;height:45pt" o:ole="" fillcolor="window">
            <v:imagedata r:id="rId30" o:title=""/>
          </v:shape>
          <o:OLEObject Type="Embed" ProgID="Equation.3" ShapeID="_x0000_i1037" DrawAspect="Content" ObjectID="_1366105089" r:id="rId31"/>
        </w:object>
      </w:r>
      <w:r>
        <w:rPr>
          <w:lang w:val="uk-UA"/>
        </w:rPr>
        <w:t xml:space="preserve">;                      </w:t>
      </w:r>
      <w:r>
        <w:rPr>
          <w:position w:val="-36"/>
          <w:lang w:val="uk-UA"/>
        </w:rPr>
        <w:object w:dxaOrig="1820" w:dyaOrig="900">
          <v:shape id="_x0000_i1038" type="#_x0000_t75" style="width:90.75pt;height:45pt" o:ole="" fillcolor="window">
            <v:imagedata r:id="rId32" o:title=""/>
          </v:shape>
          <o:OLEObject Type="Embed" ProgID="Equation.3" ShapeID="_x0000_i1038" DrawAspect="Content" ObjectID="_1366105090" r:id="rId33"/>
        </w:object>
      </w:r>
      <w:r>
        <w:rPr>
          <w:lang w:val="uk-UA"/>
        </w:rPr>
        <w:t>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>Прирівнявши мішані похідні, отримаємо співвідношення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36"/>
          <w:lang w:val="uk-UA"/>
        </w:rPr>
        <w:object w:dxaOrig="1960" w:dyaOrig="820">
          <v:shape id="_x0000_i1039" type="#_x0000_t75" style="width:98.25pt;height:41.25pt" o:ole="" fillcolor="window">
            <v:imagedata r:id="rId3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9" DrawAspect="Content" ObjectID="_1366105091" r:id="rId35"/>
        </w:object>
      </w:r>
      <w:r>
        <w:rPr>
          <w:lang w:val="uk-UA"/>
        </w:rPr>
        <w:t>.</w:t>
      </w:r>
    </w:p>
    <w:p w:rsidR="0082682C" w:rsidRDefault="0082682C" w:rsidP="0082682C">
      <w:pPr>
        <w:pStyle w:val="a3"/>
      </w:pPr>
      <w:r>
        <w:t xml:space="preserve">Це – </w:t>
      </w:r>
      <w:r>
        <w:rPr>
          <w:b/>
          <w:u w:val="single"/>
        </w:rPr>
        <w:t>рівняння зв’язку Максвелла</w:t>
      </w:r>
      <w:r>
        <w:t>. Воно пов’язує дві властивості системи : зміну температури під час адіабатного (ізоентропійного) розширення та зміну тиску під час ізохорного нагрівання. Встановлення таких зв’язків між різними властивостями системи становить зміст методу термодинамічних потенціалів, або ж характеристичних функцій.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Для зручності ми розглядали тільки оборотні процеси, які із основної термодинамічної нерівності </w:t>
      </w:r>
    </w:p>
    <w:p w:rsidR="0082682C" w:rsidRDefault="0082682C" w:rsidP="0082682C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 id="_x0000_i1040" type="#_x0000_t75" style="width:99pt;height:18pt" o:ole="" fillcolor="window">
            <v:imagedata r:id="rId36" o:title=""/>
          </v:shape>
          <o:OLEObject Type="Embed" ProgID="Equation.3" ShapeID="_x0000_i1040" DrawAspect="Content" ObjectID="_1366105092" r:id="rId37"/>
        </w:objec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 xml:space="preserve">дали нам термодинамічну тотожність. Зафіксуємо дві незалежні змінні </w:t>
      </w:r>
      <w:r>
        <w:rPr>
          <w:position w:val="-10"/>
          <w:lang w:val="uk-UA"/>
        </w:rPr>
        <w:object w:dxaOrig="2439" w:dyaOrig="360">
          <v:shape id="_x0000_i1041" type="#_x0000_t75" style="width:122.25pt;height:18pt" o:ole="" fillcolor="window">
            <v:imagedata r:id="rId38" o:title=""/>
          </v:shape>
          <o:OLEObject Type="Embed" ProgID="Equation.3" ShapeID="_x0000_i1041" DrawAspect="Content" ObjectID="_1366105093" r:id="rId39"/>
        </w:object>
      </w:r>
      <w:r>
        <w:rPr>
          <w:lang w:val="uk-UA"/>
        </w:rPr>
        <w:t xml:space="preserve">. Для адіабатного ізохорного процесу внутрішня енергія </w:t>
      </w:r>
      <w:r>
        <w:rPr>
          <w:position w:val="-6"/>
          <w:lang w:val="uk-UA"/>
        </w:rPr>
        <w:object w:dxaOrig="859" w:dyaOrig="300">
          <v:shape id="_x0000_i1042" type="#_x0000_t75" style="width:42.75pt;height:15pt" o:ole="" fillcolor="window">
            <v:imagedata r:id="rId40" o:title=""/>
          </v:shape>
          <o:OLEObject Type="Embed" ProgID="Equation.3" ShapeID="_x0000_i1042" DrawAspect="Content" ObjectID="_1366105094" r:id="rId41"/>
        </w:object>
      </w:r>
      <w:r>
        <w:rPr>
          <w:lang w:val="uk-UA"/>
        </w:rPr>
        <w:t xml:space="preserve">. Для будь-якого (включаючи необоротний) процесу </w:t>
      </w:r>
    </w:p>
    <w:p w:rsidR="0082682C" w:rsidRDefault="0082682C" w:rsidP="0082682C">
      <w:pPr>
        <w:jc w:val="both"/>
        <w:rPr>
          <w:lang w:val="uk-UA"/>
        </w:rPr>
      </w:pPr>
    </w:p>
    <w:p w:rsidR="0082682C" w:rsidRDefault="0082682C" w:rsidP="0082682C">
      <w:pPr>
        <w:jc w:val="center"/>
        <w:rPr>
          <w:lang w:val="uk-UA"/>
        </w:rPr>
      </w:pPr>
      <w:r>
        <w:rPr>
          <w:position w:val="-6"/>
          <w:lang w:val="uk-UA"/>
        </w:rPr>
        <w:object w:dxaOrig="859" w:dyaOrig="300">
          <v:shape id="_x0000_i1043" type="#_x0000_t75" style="width:42.75pt;height:15pt" o:ole="" fillcolor="window">
            <v:imagedata r:id="rId4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3" DrawAspect="Content" ObjectID="_1366105095" r:id="rId43"/>
        </w:object>
      </w:r>
      <w:r>
        <w:rPr>
          <w:lang w:val="uk-UA"/>
        </w:rPr>
        <w:t>.</w:t>
      </w:r>
    </w:p>
    <w:p w:rsidR="0082682C" w:rsidRDefault="0082682C" w:rsidP="0082682C">
      <w:pPr>
        <w:jc w:val="center"/>
        <w:rPr>
          <w:lang w:val="uk-UA"/>
        </w:rPr>
      </w:pP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 xml:space="preserve">В адіабатній ізохорній системі процеси будуть відбуватись таким чином, щоб внутрішня енергія прямувала до мінімуму. Коли система його досягне, процеси йтимуть </w:t>
      </w:r>
      <w:proofErr w:type="spellStart"/>
      <w:r>
        <w:rPr>
          <w:lang w:val="uk-UA"/>
        </w:rPr>
        <w:t>квазістатично</w:t>
      </w:r>
      <w:proofErr w:type="spellEnd"/>
      <w:r>
        <w:rPr>
          <w:lang w:val="uk-UA"/>
        </w:rPr>
        <w:t xml:space="preserve">, тобто </w:t>
      </w:r>
      <w:proofErr w:type="spellStart"/>
      <w:r>
        <w:rPr>
          <w:lang w:val="uk-UA"/>
        </w:rPr>
        <w:t>оборотно</w:t>
      </w:r>
      <w:proofErr w:type="spellEnd"/>
      <w:r>
        <w:rPr>
          <w:lang w:val="uk-UA"/>
        </w:rPr>
        <w:t>. Після припинення необоротного процесу внутрішня енергія буде мінімальною, тобто умовою рівноваги системи, що перебуває за умов сталої ентропії та сталого об’єму є мінімум внутрішньої енергії.</w:t>
      </w:r>
    </w:p>
    <w:p w:rsidR="0082682C" w:rsidRDefault="0082682C" w:rsidP="0082682C">
      <w:pPr>
        <w:jc w:val="both"/>
        <w:rPr>
          <w:lang w:val="uk-UA"/>
        </w:rPr>
      </w:pPr>
      <w:r>
        <w:rPr>
          <w:lang w:val="uk-UA"/>
        </w:rPr>
        <w:tab/>
        <w:t>Таким чином, ми можемо передбачати хід подій у такій (адіабатній, ізохорній) системі.</w:t>
      </w:r>
    </w:p>
    <w:p w:rsidR="001D4AE2" w:rsidRPr="0082682C" w:rsidRDefault="0082682C">
      <w:pPr>
        <w:rPr>
          <w:lang w:val="uk-UA"/>
        </w:rPr>
      </w:pPr>
      <w:bookmarkStart w:id="0" w:name="_GoBack"/>
      <w:bookmarkEnd w:id="0"/>
    </w:p>
    <w:sectPr w:rsidR="001D4AE2" w:rsidRPr="0082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2C"/>
    <w:rsid w:val="00581D68"/>
    <w:rsid w:val="0082682C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2682C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82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2682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2682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82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2682C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82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2682C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2682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82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2011-05-05T09:50:00Z</dcterms:created>
  <dcterms:modified xsi:type="dcterms:W3CDTF">2011-05-05T09:51:00Z</dcterms:modified>
</cp:coreProperties>
</file>