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CE" w:rsidRDefault="004F78CE" w:rsidP="004F78CE">
      <w:pPr>
        <w:pStyle w:val="1"/>
      </w:pPr>
      <w:r>
        <w:t>Недоліки класичної теорії теплоємності газів</w:t>
      </w:r>
    </w:p>
    <w:p w:rsidR="004F78CE" w:rsidRDefault="004F78CE" w:rsidP="004F78CE">
      <w:pPr>
        <w:jc w:val="both"/>
        <w:rPr>
          <w:lang w:val="uk-UA"/>
        </w:rPr>
      </w:pP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 xml:space="preserve">Ми створили красиву класичну теорію. Визначай кількість ступенів вільності, давай на кожний енергію </w:t>
      </w:r>
      <w:r>
        <w:rPr>
          <w:position w:val="-26"/>
          <w:lang w:val="uk-UA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5.25pt" o:ole="" fillcolor="window">
            <v:imagedata r:id="rId5" o:title=""/>
          </v:shape>
          <o:OLEObject Type="Embed" ProgID="Equation.3" ShapeID="_x0000_i1025" DrawAspect="Content" ObjectID="_1366104393" r:id="rId6"/>
        </w:object>
      </w:r>
      <w:r>
        <w:rPr>
          <w:lang w:val="uk-UA"/>
        </w:rPr>
        <w:t>, і знаходиш енергію або теплоємність газу. А тепер почнемо розгром нашої теорії.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 xml:space="preserve">1. Наша теорія ніяким чином не може пояснити відхилення від значень теплоємності </w:t>
      </w:r>
      <w:r>
        <w:rPr>
          <w:position w:val="-26"/>
          <w:lang w:val="uk-UA"/>
        </w:rPr>
        <w:object w:dxaOrig="460" w:dyaOrig="700">
          <v:shape id="_x0000_i1026" type="#_x0000_t75" style="width:23.25pt;height:35.25pt" o:ole="" fillcolor="window">
            <v:imagedata r:id="rId7" o:title=""/>
          </v:shape>
          <o:OLEObject Type="Embed" ProgID="Equation.3" ShapeID="_x0000_i1026" DrawAspect="Content" ObjectID="_1366104394" r:id="rId8"/>
        </w:object>
      </w:r>
      <w:r>
        <w:rPr>
          <w:lang w:val="uk-UA"/>
        </w:rPr>
        <w:t xml:space="preserve">, </w:t>
      </w:r>
      <w:r>
        <w:rPr>
          <w:position w:val="-26"/>
          <w:lang w:val="uk-UA"/>
        </w:rPr>
        <w:object w:dxaOrig="460" w:dyaOrig="700">
          <v:shape id="_x0000_i1027" type="#_x0000_t75" style="width:23.25pt;height:35.25pt" o:ole="" fillcolor="window">
            <v:imagedata r:id="rId9" o:title=""/>
          </v:shape>
          <o:OLEObject Type="Embed" ProgID="Equation.3" ShapeID="_x0000_i1027" DrawAspect="Content" ObjectID="_1366104395" r:id="rId10"/>
        </w:object>
      </w:r>
      <w:r>
        <w:rPr>
          <w:lang w:val="uk-UA"/>
        </w:rPr>
        <w:t xml:space="preserve">, а вони виникають у експерименті. Подивіться на експериментальні значення </w:t>
      </w:r>
      <w:r>
        <w:rPr>
          <w:position w:val="-12"/>
          <w:lang w:val="uk-UA"/>
        </w:rPr>
        <w:object w:dxaOrig="220" w:dyaOrig="300">
          <v:shape id="_x0000_i1028" type="#_x0000_t75" style="width:11.25pt;height:15pt" o:ole="" fillcolor="window">
            <v:imagedata r:id="rId11" o:title=""/>
          </v:shape>
          <o:OLEObject Type="Embed" ProgID="Equation.3" ShapeID="_x0000_i1028" DrawAspect="Content" ObjectID="_1366104396" r:id="rId12"/>
        </w:object>
      </w:r>
      <w:r>
        <w:rPr>
          <w:lang w:val="uk-UA"/>
        </w:rPr>
        <w:t xml:space="preserve">. Їх відмінність від розрахункового значення і є наслідком невиконання співвідношень </w:t>
      </w:r>
      <w:r>
        <w:rPr>
          <w:position w:val="-26"/>
          <w:lang w:val="uk-UA"/>
        </w:rPr>
        <w:object w:dxaOrig="460" w:dyaOrig="700">
          <v:shape id="_x0000_i1029" type="#_x0000_t75" style="width:23.25pt;height:35.25pt" o:ole="" fillcolor="window">
            <v:imagedata r:id="rId7" o:title=""/>
          </v:shape>
          <o:OLEObject Type="Embed" ProgID="Equation.3" ShapeID="_x0000_i1029" DrawAspect="Content" ObjectID="_1366104397" r:id="rId13"/>
        </w:object>
      </w:r>
      <w:r>
        <w:rPr>
          <w:lang w:val="uk-UA"/>
        </w:rPr>
        <w:t xml:space="preserve">, </w:t>
      </w:r>
      <w:r>
        <w:rPr>
          <w:position w:val="-26"/>
          <w:lang w:val="uk-UA"/>
        </w:rPr>
        <w:object w:dxaOrig="460" w:dyaOrig="700">
          <v:shape id="_x0000_i1030" type="#_x0000_t75" style="width:23.25pt;height:35.25pt" o:ole="" fillcolor="window">
            <v:imagedata r:id="rId9" o:title=""/>
          </v:shape>
          <o:OLEObject Type="Embed" ProgID="Equation.3" ShapeID="_x0000_i1030" DrawAspect="Content" ObjectID="_1366104398" r:id="rId14"/>
        </w:object>
      </w:r>
      <w:r>
        <w:rPr>
          <w:lang w:val="uk-UA"/>
        </w:rPr>
        <w:t xml:space="preserve"> та інших. Крім того, зверніть увагу, чим більше атомів у молекулі, тим більша відмінність.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2. Класична теорія не враховує те, що насправді атоми не є матеріальними точками. Крім трьох ступенів поступального руху для атомів можливі і три ступені обертального руху, а ми це не враховували.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3. Класична теорія не враховує рух електронів всередині атому.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4. Класична теорія не враховує обертання двохатомної молекули навколо осі, що з’єднує атоми.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 xml:space="preserve">5. Ми не завжди враховували </w:t>
      </w:r>
      <w:proofErr w:type="spellStart"/>
      <w:r>
        <w:rPr>
          <w:lang w:val="uk-UA"/>
        </w:rPr>
        <w:t>нежорсткість</w:t>
      </w:r>
      <w:proofErr w:type="spellEnd"/>
      <w:r>
        <w:rPr>
          <w:lang w:val="uk-UA"/>
        </w:rPr>
        <w:t xml:space="preserve"> зв’язку у </w:t>
      </w:r>
      <w:proofErr w:type="spellStart"/>
      <w:r>
        <w:rPr>
          <w:lang w:val="uk-UA"/>
        </w:rPr>
        <w:t>двох-</w:t>
      </w:r>
      <w:proofErr w:type="spellEnd"/>
      <w:r>
        <w:rPr>
          <w:lang w:val="uk-UA"/>
        </w:rPr>
        <w:t xml:space="preserve"> і багатоатомних молекулах. Такі коливання треба враховувати за певних умов.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6. І найголовніший недолік – за класичними уявленнями теплоємність газів не залежить від температури. Дослід показав, що це якоюсь мірою вірно для одноатомних газів. А насправді експериментально залежність теплоємності від температури існує.</w:t>
      </w:r>
    </w:p>
    <w:p w:rsidR="004F78CE" w:rsidRDefault="004F78CE" w:rsidP="004F78CE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720090</wp:posOffset>
                </wp:positionV>
                <wp:extent cx="3108325" cy="1889760"/>
                <wp:effectExtent l="0" t="3175" r="0" b="254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8CE" w:rsidRDefault="004F78CE" w:rsidP="004F78C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F17A973" wp14:editId="29CC997D">
                                  <wp:extent cx="2914650" cy="1790700"/>
                                  <wp:effectExtent l="0" t="0" r="0" b="0"/>
                                  <wp:docPr id="1" name="Рисунок 1" descr="Molecular\9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Molecular\9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55pt;margin-top:56.7pt;width:244.75pt;height:1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" o:allowincell="f" stroked="f">
                <v:textbox>
                  <w:txbxContent>
                    <w:p w:rsidR="004F78CE" w:rsidRDefault="004F78CE" w:rsidP="004F78C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F17A973" wp14:editId="29CC997D">
                            <wp:extent cx="2914650" cy="1790700"/>
                            <wp:effectExtent l="0" t="0" r="0" b="0"/>
                            <wp:docPr id="1" name="Рисунок 1" descr="Molecular\9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Molecular\9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На рисунку наведена температурна залежність теплоємності </w:t>
      </w:r>
      <w:r>
        <w:rPr>
          <w:position w:val="-12"/>
          <w:lang w:val="uk-UA"/>
        </w:rPr>
        <w:object w:dxaOrig="420" w:dyaOrig="380">
          <v:shape id="_x0000_i1031" type="#_x0000_t75" style="width:21pt;height:18.75pt" o:ole="" fillcolor="window">
            <v:imagedata r:id="rId16" o:title=""/>
          </v:shape>
          <o:OLEObject Type="Embed" ProgID="Equation.3" ShapeID="_x0000_i1031" DrawAspect="Content" ObjectID="_1366104399" r:id="rId17"/>
        </w:object>
      </w:r>
      <w:r>
        <w:rPr>
          <w:lang w:val="uk-UA"/>
        </w:rPr>
        <w:t xml:space="preserve"> молекулярного водню Н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. При низьких температурах (до 80 К) </w:t>
      </w:r>
      <w:r>
        <w:rPr>
          <w:position w:val="-26"/>
          <w:lang w:val="uk-UA"/>
        </w:rPr>
        <w:object w:dxaOrig="1120" w:dyaOrig="700">
          <v:shape id="_x0000_i1032" type="#_x0000_t75" style="width:56.25pt;height:35.25pt" o:ole="" fillcolor="window">
            <v:imagedata r:id="rId18" o:title=""/>
          </v:shape>
          <o:OLEObject Type="Embed" ProgID="Equation.3" ShapeID="_x0000_i1032" DrawAspect="Content" ObjectID="_1366104400" r:id="rId19"/>
        </w:object>
      </w:r>
      <w:r>
        <w:rPr>
          <w:lang w:val="uk-UA"/>
        </w:rPr>
        <w:t xml:space="preserve">, що відповідає трьом ступеням вільності поступального руху. При таких температурах двохатомна молекула водню поводиться як одноатомна. Збільшення температури до 100 К викликає поступове зростання теплоємності, і вона виходить на новий сталий рівень </w:t>
      </w:r>
      <w:r>
        <w:rPr>
          <w:position w:val="-26"/>
          <w:lang w:val="uk-UA"/>
        </w:rPr>
        <w:object w:dxaOrig="1120" w:dyaOrig="700">
          <v:shape id="_x0000_i1033" type="#_x0000_t75" style="width:56.25pt;height:35.25pt" o:ole="" fillcolor="window">
            <v:imagedata r:id="rId20" o:title=""/>
          </v:shape>
          <o:OLEObject Type="Embed" ProgID="Equation.3" ShapeID="_x0000_i1033" DrawAspect="Content" ObjectID="_1366104401" r:id="rId21"/>
        </w:object>
      </w:r>
      <w:r>
        <w:rPr>
          <w:lang w:val="uk-UA"/>
        </w:rPr>
        <w:t>. У молекули з’являються обертальні ступені вільності.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 xml:space="preserve">Чому саме обертальні, а не коливальні, адже приріст у двох наступних рівнях однаковий. Ми це доводити не будемо, але прийміть до уваги, що обертальний рух двоатомної молекули сповільнений порівняно із коливальним. Енергія обертання молекули приблизно у 100 разів менша за </w:t>
      </w:r>
      <w:r>
        <w:rPr>
          <w:lang w:val="uk-UA"/>
        </w:rPr>
        <w:lastRenderedPageBreak/>
        <w:t>енергію коливального руху. Тому обертальний рух збуджується при більш низькій температурі.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 xml:space="preserve">При температурі порядку кількох тисяч Кельвіна знову починається зростання теплоємності. При 6000 К вона набуває значення </w:t>
      </w:r>
      <w:r>
        <w:rPr>
          <w:position w:val="-26"/>
          <w:lang w:val="uk-UA"/>
        </w:rPr>
        <w:object w:dxaOrig="1120" w:dyaOrig="700">
          <v:shape id="_x0000_i1034" type="#_x0000_t75" style="width:56.25pt;height:35.25pt" o:ole="" fillcolor="window">
            <v:imagedata r:id="rId22" o:title=""/>
          </v:shape>
          <o:OLEObject Type="Embed" ProgID="Equation.3" ShapeID="_x0000_i1034" DrawAspect="Content" ObjectID="_1366104402" r:id="rId23"/>
        </w:object>
      </w:r>
      <w:r>
        <w:rPr>
          <w:lang w:val="uk-UA"/>
        </w:rPr>
        <w:t>, що свідчить про внесок у теплоємність і коливальних ступенів вільності.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За нормальних умов (~300 К) та поблизу цієї температури у досить широкому інтервалі температур можна вважати теплоємність сталою, що визначається трьома ступенями вільності поступального руху і двома – обертального.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Отже, експеримент показав, що із збільшенням температури активуються спочатку обертальні, а потім коливальні ступені вільності, а із зменшенням температури вони у зворотному порядку атрофуються, або “виморожуються”.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 xml:space="preserve">А що повинно було б бути з точки зору класичної теорії теплоємності ? В основі класичної теорії теплоємності лежить закон рівнорозподілу енергій за ступенями вільності. Це означає, що як тільки активується з підвищенням температури ступінь вільності, всі молекули повинні одночасно починати обертатись, або одночасно коливатись. За таких обставин теплоємність </w:t>
      </w:r>
      <w:r>
        <w:rPr>
          <w:position w:val="-12"/>
          <w:lang w:val="uk-UA"/>
        </w:rPr>
        <w:object w:dxaOrig="420" w:dyaOrig="380">
          <v:shape id="_x0000_i1035" type="#_x0000_t75" style="width:21pt;height:18.75pt" o:ole="" fillcolor="window">
            <v:imagedata r:id="rId24" o:title=""/>
          </v:shape>
          <o:OLEObject Type="Embed" ProgID="Equation.3" ShapeID="_x0000_i1035" DrawAspect="Content" ObjectID="_1366104403" r:id="rId25"/>
        </w:object>
      </w:r>
      <w:r>
        <w:rPr>
          <w:lang w:val="uk-UA"/>
        </w:rPr>
        <w:t xml:space="preserve"> повинна збільшуватись стрибком, кратним </w:t>
      </w:r>
      <w:r>
        <w:rPr>
          <w:position w:val="-26"/>
          <w:lang w:val="uk-UA"/>
        </w:rPr>
        <w:object w:dxaOrig="300" w:dyaOrig="700">
          <v:shape id="_x0000_i1036" type="#_x0000_t75" style="width:15pt;height:35.25pt" o:ole="" fillcolor="window">
            <v:imagedata r:id="rId26" o:title=""/>
          </v:shape>
          <o:OLEObject Type="Embed" ProgID="Equation.3" ShapeID="_x0000_i1036" DrawAspect="Content" ObjectID="_1366104404" r:id="rId27"/>
        </w:object>
      </w:r>
      <w:r>
        <w:rPr>
          <w:lang w:val="uk-UA"/>
        </w:rPr>
        <w:t>. На експерименті перехід від рівня до рівня відбувається плавно, тобто обертальні, а потім і коливальні ступені вільності збуджуються не у всіх молекулах одночасно. Спочатку починає обертатись (або коливатись) незначна кількість молекул, а потім їх кількість збільшується.</w:t>
      </w:r>
    </w:p>
    <w:p w:rsidR="004F78CE" w:rsidRDefault="004F78CE" w:rsidP="004F78CE">
      <w:pPr>
        <w:jc w:val="both"/>
        <w:rPr>
          <w:lang w:val="uk-UA"/>
        </w:rPr>
      </w:pPr>
      <w:r>
        <w:rPr>
          <w:lang w:val="uk-UA"/>
        </w:rPr>
        <w:tab/>
        <w:t>Це суперечить закону рівнорозподілу енергії за ступенями вільності. Цей закон має обмежене застосування, оскільки вважалось, що молекули підпорядковані законам класичної механіки і статистики, а це реалізується лише при дуже високих температурах (при температурах, коли виникає коливальний рух, молекули водню навіть дисоціюють). Отже, з точки зору класичної теорії теплоємності неможливо пояснити залежність теплоємності від температури.</w:t>
      </w:r>
    </w:p>
    <w:p w:rsidR="004F78CE" w:rsidRDefault="004F78CE" w:rsidP="004F78CE">
      <w:pPr>
        <w:jc w:val="both"/>
        <w:rPr>
          <w:lang w:val="uk-UA"/>
        </w:rPr>
      </w:pPr>
    </w:p>
    <w:p w:rsidR="001D4AE2" w:rsidRPr="004F78CE" w:rsidRDefault="004F78CE" w:rsidP="004F78CE">
      <w:pPr>
        <w:rPr>
          <w:lang w:val="uk-UA"/>
        </w:rPr>
      </w:pPr>
      <w:bookmarkStart w:id="0" w:name="_GoBack"/>
      <w:bookmarkEnd w:id="0"/>
    </w:p>
    <w:sectPr w:rsidR="001D4AE2" w:rsidRPr="004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CE"/>
    <w:rsid w:val="004F78CE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F78CE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8C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F78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C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F78CE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8C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F78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C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5.png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2011-05-05T09:37:00Z</dcterms:created>
  <dcterms:modified xsi:type="dcterms:W3CDTF">2011-05-05T09:37:00Z</dcterms:modified>
</cp:coreProperties>
</file>