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4B" w:rsidRDefault="0040214B" w:rsidP="0040214B">
      <w:pPr>
        <w:pStyle w:val="2"/>
        <w:jc w:val="center"/>
      </w:pPr>
      <w:r>
        <w:t>Термічна дифузія</w:t>
      </w:r>
    </w:p>
    <w:p w:rsidR="0040214B" w:rsidRDefault="0040214B" w:rsidP="0040214B">
      <w:pPr>
        <w:jc w:val="both"/>
        <w:rPr>
          <w:lang w:val="uk-UA"/>
        </w:rPr>
      </w:pPr>
    </w:p>
    <w:p w:rsidR="0040214B" w:rsidRDefault="0040214B" w:rsidP="0040214B">
      <w:pPr>
        <w:jc w:val="both"/>
        <w:rPr>
          <w:lang w:val="uk-UA"/>
        </w:rPr>
      </w:pPr>
      <w:r>
        <w:rPr>
          <w:noProof/>
          <w:lang w:val="ru-RU"/>
        </w:rPr>
        <mc:AlternateContent>
          <mc:Choice Requires="wps">
            <w:drawing>
              <wp:anchor distT="0" distB="0" distL="114300" distR="114300" simplePos="0" relativeHeight="251659264" behindDoc="0" locked="0" layoutInCell="0" allowOverlap="1">
                <wp:simplePos x="0" y="0"/>
                <wp:positionH relativeFrom="column">
                  <wp:posOffset>8255</wp:posOffset>
                </wp:positionH>
                <wp:positionV relativeFrom="paragraph">
                  <wp:posOffset>26035</wp:posOffset>
                </wp:positionV>
                <wp:extent cx="2278380" cy="1083945"/>
                <wp:effectExtent l="0" t="0" r="1905" b="3175"/>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08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214B" w:rsidRDefault="0040214B" w:rsidP="0040214B">
                            <w:r>
                              <w:rPr>
                                <w:noProof/>
                                <w:lang w:val="ru-RU"/>
                              </w:rPr>
                              <w:drawing>
                                <wp:inline distT="0" distB="0" distL="0" distR="0" wp14:anchorId="388393CC" wp14:editId="2AC9D7BF">
                                  <wp:extent cx="2085975" cy="981075"/>
                                  <wp:effectExtent l="0" t="0" r="9525" b="9525"/>
                                  <wp:docPr id="3" name="Рисунок 3" descr="7_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7_12.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981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5pt;margin-top:2.05pt;width:179.4pt;height:8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" o:allowincell="f" stroked="f">
                <v:textbox>
                  <w:txbxContent>
                    <w:p w:rsidR="0040214B" w:rsidRDefault="0040214B" w:rsidP="0040214B">
                      <w:r>
                        <w:rPr>
                          <w:noProof/>
                          <w:lang w:val="ru-RU"/>
                        </w:rPr>
                        <w:drawing>
                          <wp:inline distT="0" distB="0" distL="0" distR="0" wp14:anchorId="388393CC" wp14:editId="2AC9D7BF">
                            <wp:extent cx="2085975" cy="981075"/>
                            <wp:effectExtent l="0" t="0" r="9525" b="9525"/>
                            <wp:docPr id="3" name="Рисунок 3" descr="7_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7_12.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981075"/>
                                    </a:xfrm>
                                    <a:prstGeom prst="rect">
                                      <a:avLst/>
                                    </a:prstGeom>
                                    <a:noFill/>
                                    <a:ln>
                                      <a:noFill/>
                                    </a:ln>
                                  </pic:spPr>
                                </pic:pic>
                              </a:graphicData>
                            </a:graphic>
                          </wp:inline>
                        </w:drawing>
                      </w:r>
                    </w:p>
                  </w:txbxContent>
                </v:textbox>
                <w10:wrap type="square"/>
              </v:shape>
            </w:pict>
          </mc:Fallback>
        </mc:AlternateContent>
      </w:r>
      <w:r>
        <w:rPr>
          <w:lang w:val="uk-UA"/>
        </w:rPr>
        <w:tab/>
        <w:t>Далі ще більше ускладнюємо собі життя. Досі ми розглядали випадки дифузії, які призводили до вирівнювання концентрації. Проте існує дифузія, яка навпаки, у однорідній суміші газів призводить до часткового розділення газової суміші і створення градієнтів їх концентрацій.</w:t>
      </w:r>
    </w:p>
    <w:p w:rsidR="0040214B" w:rsidRDefault="0040214B" w:rsidP="0040214B">
      <w:pPr>
        <w:jc w:val="both"/>
        <w:rPr>
          <w:lang w:val="uk-UA"/>
        </w:rPr>
      </w:pPr>
      <w:r>
        <w:rPr>
          <w:lang w:val="uk-UA"/>
        </w:rPr>
        <w:tab/>
        <w:t>Якщо суміш газів знаходиться між двома пластинами із різними температурами, то дифузійні потоки цих газів направлені до різних пластин. Причому правила тут такі. Якщо маси молекул газів суттєво відрізняються, то більш важкі переходять до холодної пластини, а легкі – до гарячої. Якщо маси молекул близькі, а відрізняються вони розмірами, то більші молекули йдуть до холодної пластини, а менші – до гарячої.</w:t>
      </w:r>
    </w:p>
    <w:p w:rsidR="0040214B" w:rsidRDefault="0040214B" w:rsidP="0040214B">
      <w:pPr>
        <w:jc w:val="both"/>
        <w:rPr>
          <w:lang w:val="uk-UA"/>
        </w:rPr>
      </w:pPr>
      <w:r>
        <w:rPr>
          <w:lang w:val="uk-UA"/>
        </w:rPr>
        <w:tab/>
        <w:t xml:space="preserve">Така дифузія отримала назву </w:t>
      </w:r>
      <w:r>
        <w:rPr>
          <w:b/>
          <w:u w:val="single"/>
          <w:lang w:val="uk-UA"/>
        </w:rPr>
        <w:t>термодифузії</w:t>
      </w:r>
      <w:r>
        <w:rPr>
          <w:lang w:val="uk-UA"/>
        </w:rPr>
        <w:t xml:space="preserve">. З якісної точки зору досить очевидно, що градієнт температури призводить до градієнта концентрації. Але пояснити у рамках молекулярно-кінетичної теорії явище термодифузії неможливо. Вважають, що воно пов’язано із міжмолекулярними силами відштовхування, залежність яких від відстані має вигляд </w:t>
      </w:r>
      <w:r>
        <w:rPr>
          <w:position w:val="-32"/>
          <w:lang w:val="uk-UA"/>
        </w:rPr>
        <w:object w:dxaOrig="135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8.25pt" o:ole="" fillcolor="window">
            <v:imagedata r:id="rId6" o:title=""/>
          </v:shape>
          <o:OLEObject Type="Embed" ProgID="Equation.3" ShapeID="_x0000_i1025" DrawAspect="Content" ObjectID="_1366101603" r:id="rId7"/>
        </w:object>
      </w:r>
      <w:r>
        <w:rPr>
          <w:lang w:val="uk-UA"/>
        </w:rPr>
        <w:t xml:space="preserve">, де </w:t>
      </w:r>
      <w:r>
        <w:rPr>
          <w:position w:val="-6"/>
          <w:lang w:val="uk-UA"/>
        </w:rPr>
        <w:object w:dxaOrig="440" w:dyaOrig="300">
          <v:shape id="_x0000_i1026" type="#_x0000_t75" style="width:21.75pt;height:15pt" o:ole="" fillcolor="window">
            <v:imagedata r:id="rId8" o:title=""/>
          </v:shape>
          <o:OLEObject Type="Embed" ProgID="Equation.3" ShapeID="_x0000_i1026" DrawAspect="Content" ObjectID="_1366101604" r:id="rId9"/>
        </w:object>
      </w:r>
      <w:r>
        <w:rPr>
          <w:lang w:val="uk-UA"/>
        </w:rPr>
        <w:t xml:space="preserve">число. Доведено, що при </w:t>
      </w:r>
      <w:r>
        <w:rPr>
          <w:position w:val="-6"/>
          <w:lang w:val="uk-UA"/>
        </w:rPr>
        <w:object w:dxaOrig="620" w:dyaOrig="300">
          <v:shape id="_x0000_i1027" type="#_x0000_t75" style="width:30.75pt;height:15pt" o:ole="" fillcolor="window">
            <v:imagedata r:id="rId10" o:title=""/>
          </v:shape>
          <o:OLEObject Type="Embed" ProgID="Equation.3" ShapeID="_x0000_i1027" DrawAspect="Content" ObjectID="_1366101605" r:id="rId11"/>
        </w:object>
      </w:r>
      <w:r>
        <w:rPr>
          <w:lang w:val="uk-UA"/>
        </w:rPr>
        <w:t xml:space="preserve"> легкі молекули збираються біля гарячої стінки, при </w:t>
      </w:r>
      <w:r>
        <w:rPr>
          <w:position w:val="-6"/>
          <w:lang w:val="uk-UA"/>
        </w:rPr>
        <w:object w:dxaOrig="620" w:dyaOrig="300">
          <v:shape id="_x0000_i1028" type="#_x0000_t75" style="width:30.75pt;height:12pt" o:ole="" fillcolor="window">
            <v:imagedata r:id="rId12" o:title=""/>
          </v:shape>
          <o:OLEObject Type="Embed" ProgID="Equation.3" ShapeID="_x0000_i1028" DrawAspect="Content" ObjectID="_1366101606" r:id="rId13"/>
        </w:object>
      </w:r>
      <w:r>
        <w:rPr>
          <w:lang w:val="uk-UA"/>
        </w:rPr>
        <w:t xml:space="preserve"> – біля холодної стінки (ефект змінює знак), а при </w:t>
      </w:r>
      <w:r>
        <w:rPr>
          <w:position w:val="-6"/>
          <w:lang w:val="uk-UA"/>
        </w:rPr>
        <w:object w:dxaOrig="620" w:dyaOrig="300">
          <v:shape id="_x0000_i1029" type="#_x0000_t75" style="width:30.75pt;height:15pt" o:ole="" fillcolor="window">
            <v:imagedata r:id="rId14" o:title=""/>
          </v:shape>
          <o:OLEObject Type="Embed" ProgID="Equation.3" ShapeID="_x0000_i1029" DrawAspect="Content" ObjectID="_1366101607" r:id="rId15"/>
        </w:object>
      </w:r>
      <w:r>
        <w:rPr>
          <w:lang w:val="uk-UA"/>
        </w:rPr>
        <w:t xml:space="preserve"> ефект термодифузії взагалі відсутній.</w:t>
      </w:r>
    </w:p>
    <w:p w:rsidR="0040214B" w:rsidRDefault="0040214B" w:rsidP="0040214B">
      <w:pPr>
        <w:jc w:val="both"/>
        <w:rPr>
          <w:lang w:val="uk-UA"/>
        </w:rPr>
      </w:pPr>
      <w:r>
        <w:rPr>
          <w:lang w:val="uk-UA"/>
        </w:rPr>
        <w:tab/>
        <w:t xml:space="preserve">Повну теорію термодифузії ми з вами у курсі лекцій не подужаємо, обмежимося лише деякими кількісними співвідношеннями. </w:t>
      </w:r>
    </w:p>
    <w:p w:rsidR="0040214B" w:rsidRDefault="0040214B" w:rsidP="0040214B">
      <w:pPr>
        <w:jc w:val="both"/>
        <w:rPr>
          <w:lang w:val="uk-UA"/>
        </w:rPr>
      </w:pPr>
      <w:r>
        <w:rPr>
          <w:lang w:val="uk-UA"/>
        </w:rPr>
        <w:tab/>
        <w:t>Давайте задумаємось. Термодифузія викликає у рівномірно розподіленій суміші газів градієнти концентрацій складових. І що далі ? Що буває, коли існує градієнт концентрації ? Дифузія. У нашому випадку це взаємна дифузія. Отже, термодифузія завжди буде супроводжуватися дифузією.</w:t>
      </w:r>
    </w:p>
    <w:p w:rsidR="0040214B" w:rsidRDefault="0040214B" w:rsidP="0040214B">
      <w:pPr>
        <w:jc w:val="both"/>
        <w:rPr>
          <w:lang w:val="uk-UA"/>
        </w:rPr>
      </w:pPr>
      <w:r>
        <w:rPr>
          <w:lang w:val="uk-UA"/>
        </w:rPr>
        <w:tab/>
        <w:t>Приймемо, що газова суміш складається із двох компонент :</w:t>
      </w:r>
    </w:p>
    <w:p w:rsidR="0040214B" w:rsidRDefault="0040214B" w:rsidP="0040214B">
      <w:pPr>
        <w:jc w:val="both"/>
        <w:rPr>
          <w:lang w:val="uk-UA"/>
        </w:rPr>
      </w:pPr>
      <w:r>
        <w:rPr>
          <w:lang w:val="uk-UA"/>
        </w:rPr>
        <w:t xml:space="preserve">1 – з легкими молекулами із концентрацією </w:t>
      </w:r>
      <w:r>
        <w:rPr>
          <w:position w:val="-12"/>
          <w:lang w:val="uk-UA"/>
        </w:rPr>
        <w:object w:dxaOrig="300" w:dyaOrig="380">
          <v:shape id="_x0000_i1030" type="#_x0000_t75" style="width:15pt;height:18.75pt" o:ole="" fillcolor="window">
            <v:imagedata r:id="rId16" o:title=""/>
          </v:shape>
          <o:OLEObject Type="Embed" ProgID="Equation.3" ShapeID="_x0000_i1030" DrawAspect="Content" ObjectID="_1366101608" r:id="rId17"/>
        </w:object>
      </w:r>
      <w:r>
        <w:rPr>
          <w:lang w:val="uk-UA"/>
        </w:rPr>
        <w:t>;</w:t>
      </w:r>
    </w:p>
    <w:p w:rsidR="0040214B" w:rsidRDefault="0040214B" w:rsidP="0040214B">
      <w:pPr>
        <w:jc w:val="both"/>
        <w:rPr>
          <w:lang w:val="uk-UA"/>
        </w:rPr>
      </w:pPr>
      <w:r>
        <w:rPr>
          <w:lang w:val="uk-UA"/>
        </w:rPr>
        <w:t xml:space="preserve">2 – з важкими молекулами із концентрацією </w:t>
      </w:r>
      <w:r>
        <w:rPr>
          <w:position w:val="-12"/>
          <w:lang w:val="uk-UA"/>
        </w:rPr>
        <w:object w:dxaOrig="340" w:dyaOrig="380">
          <v:shape id="_x0000_i1031" type="#_x0000_t75" style="width:17.25pt;height:18.75pt" o:ole="" fillcolor="window">
            <v:imagedata r:id="rId18" o:title=""/>
          </v:shape>
          <o:OLEObject Type="Embed" ProgID="Equation.3" ShapeID="_x0000_i1031" DrawAspect="Content" ObjectID="_1366101609" r:id="rId19"/>
        </w:object>
      </w:r>
      <w:r>
        <w:rPr>
          <w:lang w:val="uk-UA"/>
        </w:rPr>
        <w:t>.</w:t>
      </w:r>
    </w:p>
    <w:p w:rsidR="0040214B" w:rsidRDefault="0040214B" w:rsidP="0040214B">
      <w:pPr>
        <w:jc w:val="both"/>
        <w:rPr>
          <w:lang w:val="uk-UA"/>
        </w:rPr>
      </w:pPr>
      <w:r>
        <w:rPr>
          <w:lang w:val="uk-UA"/>
        </w:rPr>
        <w:tab/>
        <w:t xml:space="preserve">Сумарна концентрація </w:t>
      </w:r>
      <w:r>
        <w:rPr>
          <w:position w:val="-12"/>
          <w:lang w:val="uk-UA"/>
        </w:rPr>
        <w:object w:dxaOrig="1280" w:dyaOrig="380">
          <v:shape id="_x0000_i1032" type="#_x0000_t75" style="width:63.75pt;height:18.75pt" o:ole="" fillcolor="window">
            <v:imagedata r:id="rId20" o:title=""/>
          </v:shape>
          <o:OLEObject Type="Embed" ProgID="Equation.3" ShapeID="_x0000_i1032" DrawAspect="Content" ObjectID="_1366101610" r:id="rId21"/>
        </w:object>
      </w:r>
      <w:r>
        <w:rPr>
          <w:lang w:val="uk-UA"/>
        </w:rPr>
        <w:t xml:space="preserve">. Введемо такі позначення : </w:t>
      </w:r>
      <w:r>
        <w:rPr>
          <w:position w:val="-12"/>
          <w:lang w:val="uk-UA"/>
        </w:rPr>
        <w:object w:dxaOrig="740" w:dyaOrig="380">
          <v:shape id="_x0000_i1033" type="#_x0000_t75" style="width:36.75pt;height:18.75pt" o:ole="" fillcolor="window">
            <v:imagedata r:id="rId22" o:title=""/>
          </v:shape>
          <o:OLEObject Type="Embed" ProgID="Equation.3" ShapeID="_x0000_i1033" DrawAspect="Content" ObjectID="_1366101611" r:id="rId23"/>
        </w:object>
      </w:r>
      <w:r>
        <w:rPr>
          <w:lang w:val="uk-UA"/>
        </w:rPr>
        <w:t xml:space="preserve">коефіцієнт взаємної дифузії компонент суміші, </w:t>
      </w:r>
      <w:r>
        <w:rPr>
          <w:position w:val="-12"/>
          <w:lang w:val="uk-UA"/>
        </w:rPr>
        <w:object w:dxaOrig="680" w:dyaOrig="380">
          <v:shape id="_x0000_i1034" type="#_x0000_t75" style="width:33.75pt;height:18.75pt" o:ole="" fillcolor="window">
            <v:imagedata r:id="rId24" o:title=""/>
          </v:shape>
          <o:OLEObject Type="Embed" ProgID="Equation.3" ShapeID="_x0000_i1034" DrawAspect="Content" ObjectID="_1366101612" r:id="rId25"/>
        </w:object>
      </w:r>
      <w:r>
        <w:rPr>
          <w:lang w:val="uk-UA"/>
        </w:rPr>
        <w:t xml:space="preserve">коефіцієнт термічної дифузії. Як завжди виділимо площадку площею </w:t>
      </w:r>
      <w:r>
        <w:rPr>
          <w:position w:val="-6"/>
          <w:lang w:val="uk-UA"/>
        </w:rPr>
        <w:object w:dxaOrig="380" w:dyaOrig="300">
          <v:shape id="_x0000_i1035" type="#_x0000_t75" style="width:18.75pt;height:15pt" o:ole="" fillcolor="window">
            <v:imagedata r:id="rId26" o:title=""/>
          </v:shape>
          <o:OLEObject Type="Embed" ProgID="Equation.3" ShapeID="_x0000_i1035" DrawAspect="Content" ObjectID="_1366101613" r:id="rId27"/>
        </w:object>
      </w:r>
      <w:r>
        <w:rPr>
          <w:lang w:val="uk-UA"/>
        </w:rPr>
        <w:t xml:space="preserve"> перпендикулярну осі </w:t>
      </w:r>
      <w:r>
        <w:rPr>
          <w:position w:val="-6"/>
          <w:lang w:val="uk-UA"/>
        </w:rPr>
        <w:object w:dxaOrig="220" w:dyaOrig="240">
          <v:shape id="_x0000_i1036" type="#_x0000_t75" style="width:11.25pt;height:12pt" o:ole="" fillcolor="window">
            <v:imagedata r:id="rId28" o:title=""/>
          </v:shape>
          <o:OLEObject Type="Embed" ProgID="Equation.3" ShapeID="_x0000_i1036" DrawAspect="Content" ObjectID="_1366101614" r:id="rId29"/>
        </w:object>
      </w:r>
      <w:r>
        <w:rPr>
          <w:lang w:val="uk-UA"/>
        </w:rPr>
        <w:t xml:space="preserve">. Тоді потік молекул першого типу через площадку </w:t>
      </w:r>
      <w:r>
        <w:rPr>
          <w:position w:val="-6"/>
          <w:lang w:val="uk-UA"/>
        </w:rPr>
        <w:object w:dxaOrig="380" w:dyaOrig="300">
          <v:shape id="_x0000_i1037" type="#_x0000_t75" style="width:18.75pt;height:15pt" o:ole="" fillcolor="window">
            <v:imagedata r:id="rId30" o:title=""/>
          </v:shape>
          <o:OLEObject Type="Embed" ProgID="Equation.3" ShapeID="_x0000_i1037" DrawAspect="Content" ObjectID="_1366101615" r:id="rId31"/>
        </w:object>
      </w:r>
      <w:r>
        <w:rPr>
          <w:lang w:val="uk-UA"/>
        </w:rPr>
        <w:t xml:space="preserve"> визначається як</w:t>
      </w:r>
    </w:p>
    <w:p w:rsidR="0040214B" w:rsidRDefault="0040214B" w:rsidP="0040214B">
      <w:pPr>
        <w:jc w:val="center"/>
        <w:rPr>
          <w:lang w:val="uk-UA"/>
        </w:rPr>
      </w:pPr>
      <w:r>
        <w:rPr>
          <w:position w:val="-28"/>
          <w:lang w:val="uk-UA"/>
        </w:rPr>
        <w:object w:dxaOrig="3960" w:dyaOrig="720">
          <v:shape id="_x0000_i1038" type="#_x0000_t75" style="width:198pt;height:36pt" o:ole="" fillcolor="window">
            <v:imagedata r:id="rId32" o:title=""/>
          </v:shape>
          <o:OLEObject Type="Embed" ProgID="Equation.3" ShapeID="_x0000_i1038" DrawAspect="Content" ObjectID="_1366101616" r:id="rId33"/>
        </w:object>
      </w:r>
      <w:r>
        <w:rPr>
          <w:lang w:val="uk-UA"/>
        </w:rPr>
        <w:t>.</w:t>
      </w:r>
    </w:p>
    <w:p w:rsidR="0040214B" w:rsidRDefault="0040214B" w:rsidP="0040214B">
      <w:pPr>
        <w:jc w:val="both"/>
        <w:rPr>
          <w:lang w:val="uk-UA"/>
        </w:rPr>
      </w:pPr>
      <w:r>
        <w:rPr>
          <w:lang w:val="uk-UA"/>
        </w:rPr>
        <w:t xml:space="preserve">Це ми з вами приймаємо за постулат, щоб зараз не зупинятись на тому, чому саме так записали </w:t>
      </w:r>
      <w:proofErr w:type="spellStart"/>
      <w:r>
        <w:rPr>
          <w:lang w:val="uk-UA"/>
        </w:rPr>
        <w:t>термодифузійну</w:t>
      </w:r>
      <w:proofErr w:type="spellEnd"/>
      <w:r>
        <w:rPr>
          <w:lang w:val="uk-UA"/>
        </w:rPr>
        <w:t xml:space="preserve"> складову. Перший доданок являє собою потік взаємної дифузії молекул 1 газу, а другий – </w:t>
      </w:r>
      <w:proofErr w:type="spellStart"/>
      <w:r>
        <w:rPr>
          <w:lang w:val="uk-UA"/>
        </w:rPr>
        <w:t>термодифузійний</w:t>
      </w:r>
      <w:proofErr w:type="spellEnd"/>
      <w:r>
        <w:rPr>
          <w:lang w:val="uk-UA"/>
        </w:rPr>
        <w:t xml:space="preserve"> потік. </w:t>
      </w:r>
    </w:p>
    <w:p w:rsidR="0040214B" w:rsidRDefault="0040214B" w:rsidP="0040214B">
      <w:pPr>
        <w:jc w:val="both"/>
        <w:rPr>
          <w:lang w:val="uk-UA"/>
        </w:rPr>
      </w:pPr>
      <w:r>
        <w:rPr>
          <w:lang w:val="uk-UA"/>
        </w:rPr>
        <w:lastRenderedPageBreak/>
        <w:tab/>
        <w:t xml:space="preserve">У стаціонарному стані </w:t>
      </w:r>
      <w:r>
        <w:rPr>
          <w:position w:val="-12"/>
          <w:lang w:val="uk-UA"/>
        </w:rPr>
        <w:object w:dxaOrig="940" w:dyaOrig="380">
          <v:shape id="_x0000_i1039" type="#_x0000_t75" style="width:47.25pt;height:18.75pt" o:ole="" fillcolor="window">
            <v:imagedata r:id="rId34" o:title=""/>
          </v:shape>
          <o:OLEObject Type="Embed" ProgID="Equation.3" ShapeID="_x0000_i1039" DrawAspect="Content" ObjectID="_1366101617" r:id="rId35"/>
        </w:object>
      </w:r>
      <w:r>
        <w:rPr>
          <w:lang w:val="uk-UA"/>
        </w:rPr>
        <w:t>, тому</w:t>
      </w:r>
    </w:p>
    <w:p w:rsidR="0040214B" w:rsidRDefault="0040214B" w:rsidP="0040214B">
      <w:pPr>
        <w:jc w:val="center"/>
        <w:rPr>
          <w:lang w:val="uk-UA"/>
        </w:rPr>
      </w:pPr>
      <w:r>
        <w:rPr>
          <w:position w:val="-28"/>
          <w:lang w:val="uk-UA"/>
        </w:rPr>
        <w:object w:dxaOrig="3680" w:dyaOrig="720">
          <v:shape id="_x0000_i1040" type="#_x0000_t75" style="width:183.75pt;height:36pt" o:ole="" fillcolor="window">
            <v:imagedata r:id="rId36" o:title=""/>
          </v:shape>
          <o:OLEObject Type="Embed" ProgID="Equation.3" ShapeID="_x0000_i1040" DrawAspect="Content" ObjectID="_1366101618" r:id="rId37"/>
        </w:object>
      </w:r>
      <w:r>
        <w:rPr>
          <w:lang w:val="uk-UA"/>
        </w:rPr>
        <w:t xml:space="preserve">;   </w:t>
      </w:r>
      <w:r>
        <w:rPr>
          <w:position w:val="-28"/>
          <w:lang w:val="uk-UA"/>
        </w:rPr>
        <w:object w:dxaOrig="2400" w:dyaOrig="720">
          <v:shape id="_x0000_i1041" type="#_x0000_t75" style="width:120pt;height:36pt" o:ole="" fillcolor="window">
            <v:imagedata r:id="rId38" o:title=""/>
          </v:shape>
          <o:OLEObject Type="Embed" ProgID="Equation.3" ShapeID="_x0000_i1041" DrawAspect="Content" ObjectID="_1366101619" r:id="rId39"/>
        </w:object>
      </w:r>
      <w:r>
        <w:rPr>
          <w:lang w:val="uk-UA"/>
        </w:rPr>
        <w:t xml:space="preserve">;      </w:t>
      </w:r>
      <w:r>
        <w:rPr>
          <w:position w:val="-34"/>
          <w:lang w:val="uk-UA"/>
        </w:rPr>
        <w:object w:dxaOrig="2299" w:dyaOrig="780">
          <v:shape id="_x0000_i1042" type="#_x0000_t75" style="width:114.75pt;height:39pt" o:ole="" fillcolor="window">
            <v:imagedata r:id="rId40" o:title=""/>
          </v:shape>
          <o:OLEObject Type="Embed" ProgID="Equation.3" ShapeID="_x0000_i1042" DrawAspect="Content" ObjectID="_1366101620" r:id="rId41"/>
        </w:object>
      </w:r>
      <w:r>
        <w:rPr>
          <w:lang w:val="uk-UA"/>
        </w:rPr>
        <w:t>.</w:t>
      </w:r>
    </w:p>
    <w:p w:rsidR="0040214B" w:rsidRDefault="0040214B" w:rsidP="0040214B">
      <w:pPr>
        <w:jc w:val="both"/>
        <w:rPr>
          <w:lang w:val="uk-UA"/>
        </w:rPr>
      </w:pPr>
      <w:r>
        <w:rPr>
          <w:lang w:val="uk-UA"/>
        </w:rPr>
        <w:t>Введемо відносні концентрації</w:t>
      </w:r>
    </w:p>
    <w:p w:rsidR="0040214B" w:rsidRDefault="0040214B" w:rsidP="0040214B">
      <w:pPr>
        <w:jc w:val="center"/>
        <w:rPr>
          <w:lang w:val="uk-UA"/>
        </w:rPr>
      </w:pPr>
      <w:r>
        <w:rPr>
          <w:position w:val="-28"/>
          <w:lang w:val="uk-UA"/>
        </w:rPr>
        <w:object w:dxaOrig="859" w:dyaOrig="720">
          <v:shape id="_x0000_i1043" type="#_x0000_t75" style="width:42.75pt;height:36pt" o:ole="" fillcolor="window">
            <v:imagedata r:id="rId42" o:title=""/>
          </v:shape>
          <o:OLEObject Type="Embed" ProgID="Equation.3" ShapeID="_x0000_i1043" DrawAspect="Content" ObjectID="_1366101621" r:id="rId43"/>
        </w:object>
      </w:r>
      <w:r>
        <w:rPr>
          <w:lang w:val="uk-UA"/>
        </w:rPr>
        <w:t xml:space="preserve">;       </w:t>
      </w:r>
      <w:r>
        <w:rPr>
          <w:position w:val="-28"/>
          <w:lang w:val="uk-UA"/>
        </w:rPr>
        <w:object w:dxaOrig="960" w:dyaOrig="720">
          <v:shape id="_x0000_i1044" type="#_x0000_t75" style="width:48pt;height:36pt" o:ole="" fillcolor="window">
            <v:imagedata r:id="rId44" o:title=""/>
          </v:shape>
          <o:OLEObject Type="Embed" ProgID="Equation.3" ShapeID="_x0000_i1044" DrawAspect="Content" ObjectID="_1366101622" r:id="rId45"/>
        </w:object>
      </w:r>
      <w:r>
        <w:rPr>
          <w:lang w:val="uk-UA"/>
        </w:rPr>
        <w:t xml:space="preserve">;      </w:t>
      </w:r>
      <w:r>
        <w:rPr>
          <w:position w:val="-12"/>
          <w:lang w:val="uk-UA"/>
        </w:rPr>
        <w:object w:dxaOrig="1219" w:dyaOrig="380">
          <v:shape id="_x0000_i1045" type="#_x0000_t75" style="width:60.75pt;height:18.75pt" o:ole="" fillcolor="window">
            <v:imagedata r:id="rId46" o:title=""/>
          </v:shape>
          <o:OLEObject Type="Embed" ProgID="Equation.3" ShapeID="_x0000_i1045" DrawAspect="Content" ObjectID="_1366101623" r:id="rId47"/>
        </w:object>
      </w:r>
      <w:r>
        <w:rPr>
          <w:lang w:val="uk-UA"/>
        </w:rPr>
        <w:t>.</w:t>
      </w:r>
    </w:p>
    <w:p w:rsidR="0040214B" w:rsidRDefault="0040214B" w:rsidP="0040214B">
      <w:pPr>
        <w:jc w:val="both"/>
        <w:rPr>
          <w:lang w:val="uk-UA"/>
        </w:rPr>
      </w:pPr>
      <w:r>
        <w:rPr>
          <w:lang w:val="uk-UA"/>
        </w:rPr>
        <w:t>В таких позначеннях рівняння набуває вигляду</w:t>
      </w:r>
    </w:p>
    <w:p w:rsidR="0040214B" w:rsidRDefault="0040214B" w:rsidP="0040214B">
      <w:pPr>
        <w:jc w:val="center"/>
        <w:rPr>
          <w:lang w:val="uk-UA"/>
        </w:rPr>
      </w:pPr>
      <w:r>
        <w:rPr>
          <w:position w:val="-34"/>
          <w:lang w:val="uk-UA"/>
        </w:rPr>
        <w:object w:dxaOrig="2079" w:dyaOrig="780">
          <v:shape id="_x0000_i1046" type="#_x0000_t75" style="width:104.25pt;height:39pt" o:ole="" fillcolor="window">
            <v:imagedata r:id="rId48" o:title=""/>
          </v:shape>
          <o:OLEObject Type="Embed" ProgID="Equation.3" ShapeID="_x0000_i1046" DrawAspect="Content" ObjectID="_1366101624" r:id="rId49"/>
        </w:object>
      </w:r>
      <w:r>
        <w:rPr>
          <w:lang w:val="uk-UA"/>
        </w:rPr>
        <w:t>.</w:t>
      </w:r>
    </w:p>
    <w:p w:rsidR="0040214B" w:rsidRDefault="0040214B" w:rsidP="0040214B">
      <w:pPr>
        <w:jc w:val="both"/>
        <w:rPr>
          <w:lang w:val="uk-UA"/>
        </w:rPr>
      </w:pPr>
      <w:r>
        <w:rPr>
          <w:lang w:val="uk-UA"/>
        </w:rPr>
        <w:t xml:space="preserve">Величина </w:t>
      </w:r>
      <w:r>
        <w:rPr>
          <w:position w:val="-34"/>
          <w:lang w:val="uk-UA"/>
        </w:rPr>
        <w:object w:dxaOrig="560" w:dyaOrig="780">
          <v:shape id="_x0000_i1047" type="#_x0000_t75" style="width:27.75pt;height:39pt" o:ole="" fillcolor="window">
            <v:imagedata r:id="rId50" o:title=""/>
          </v:shape>
          <o:OLEObject Type="Embed" ProgID="Equation.3" ShapeID="_x0000_i1047" DrawAspect="Content" ObjectID="_1366101625" r:id="rId51"/>
        </w:object>
      </w:r>
      <w:r>
        <w:rPr>
          <w:lang w:val="uk-UA"/>
        </w:rPr>
        <w:t xml:space="preserve"> називається </w:t>
      </w:r>
      <w:proofErr w:type="spellStart"/>
      <w:r>
        <w:rPr>
          <w:b/>
          <w:u w:val="single"/>
          <w:lang w:val="uk-UA"/>
        </w:rPr>
        <w:t>термодифузійним</w:t>
      </w:r>
      <w:proofErr w:type="spellEnd"/>
      <w:r>
        <w:rPr>
          <w:b/>
          <w:u w:val="single"/>
          <w:lang w:val="uk-UA"/>
        </w:rPr>
        <w:t xml:space="preserve"> відношенням</w:t>
      </w:r>
      <w:r>
        <w:rPr>
          <w:lang w:val="uk-UA"/>
        </w:rPr>
        <w:t>. Воно пов’язане із відносними концентраціями наступним чином</w:t>
      </w:r>
    </w:p>
    <w:p w:rsidR="0040214B" w:rsidRDefault="0040214B" w:rsidP="0040214B">
      <w:pPr>
        <w:jc w:val="center"/>
        <w:rPr>
          <w:lang w:val="uk-UA"/>
        </w:rPr>
      </w:pPr>
      <w:r>
        <w:rPr>
          <w:position w:val="-34"/>
          <w:lang w:val="uk-UA"/>
        </w:rPr>
        <w:object w:dxaOrig="2900" w:dyaOrig="780">
          <v:shape id="_x0000_i1048" type="#_x0000_t75" style="width:144.75pt;height:39pt" o:ole="" fillcolor="window">
            <v:imagedata r:id="rId52" o:title=""/>
          </v:shape>
          <o:OLEObject Type="Embed" ProgID="Equation.3" ShapeID="_x0000_i1048" DrawAspect="Content" ObjectID="_1366101626" r:id="rId53"/>
        </w:object>
      </w:r>
      <w:r>
        <w:rPr>
          <w:lang w:val="uk-UA"/>
        </w:rPr>
        <w:t>,</w:t>
      </w:r>
    </w:p>
    <w:p w:rsidR="0040214B" w:rsidRDefault="0040214B" w:rsidP="0040214B">
      <w:pPr>
        <w:jc w:val="both"/>
        <w:rPr>
          <w:lang w:val="uk-UA"/>
        </w:rPr>
      </w:pPr>
      <w:r>
        <w:rPr>
          <w:lang w:val="uk-UA"/>
        </w:rPr>
        <w:t xml:space="preserve">де </w:t>
      </w:r>
      <w:r>
        <w:rPr>
          <w:position w:val="-34"/>
          <w:lang w:val="uk-UA"/>
        </w:rPr>
        <w:object w:dxaOrig="2480" w:dyaOrig="780">
          <v:shape id="_x0000_i1049" type="#_x0000_t75" style="width:123.75pt;height:39pt" o:ole="" fillcolor="window">
            <v:imagedata r:id="rId54" o:title=""/>
          </v:shape>
          <o:OLEObject Type="Embed" ProgID="Equation.3" ShapeID="_x0000_i1049" DrawAspect="Content" ObjectID="_1366101627" r:id="rId55"/>
        </w:object>
      </w:r>
      <w:r>
        <w:rPr>
          <w:lang w:val="uk-UA"/>
        </w:rPr>
        <w:t xml:space="preserve">константа, в якій </w:t>
      </w:r>
      <w:r>
        <w:rPr>
          <w:position w:val="-16"/>
          <w:lang w:val="uk-UA"/>
        </w:rPr>
        <w:object w:dxaOrig="780" w:dyaOrig="420">
          <v:shape id="_x0000_i1050" type="#_x0000_t75" style="width:39pt;height:21pt" o:ole="" fillcolor="window">
            <v:imagedata r:id="rId56" o:title=""/>
          </v:shape>
          <o:OLEObject Type="Embed" ProgID="Equation.3" ShapeID="_x0000_i1050" DrawAspect="Content" ObjectID="_1366101628" r:id="rId57"/>
        </w:object>
      </w:r>
      <w:r>
        <w:rPr>
          <w:lang w:val="uk-UA"/>
        </w:rPr>
        <w:t xml:space="preserve">маси молекул обох сортів; </w:t>
      </w:r>
      <w:r>
        <w:rPr>
          <w:position w:val="-6"/>
          <w:lang w:val="uk-UA"/>
        </w:rPr>
        <w:object w:dxaOrig="440" w:dyaOrig="300">
          <v:shape id="_x0000_i1051" type="#_x0000_t75" style="width:21.75pt;height:15pt" o:ole="" fillcolor="window">
            <v:imagedata r:id="rId58" o:title=""/>
          </v:shape>
          <o:OLEObject Type="Embed" ProgID="Equation.3" ShapeID="_x0000_i1051" DrawAspect="Content" ObjectID="_1366101629" r:id="rId59"/>
        </w:object>
      </w:r>
      <w:r>
        <w:rPr>
          <w:lang w:val="uk-UA"/>
        </w:rPr>
        <w:t xml:space="preserve">показник залежності </w:t>
      </w:r>
      <w:r>
        <w:rPr>
          <w:position w:val="-32"/>
          <w:lang w:val="uk-UA"/>
        </w:rPr>
        <w:object w:dxaOrig="1359" w:dyaOrig="760">
          <v:shape id="_x0000_i1052" type="#_x0000_t75" style="width:68.25pt;height:38.25pt" o:ole="" fillcolor="window">
            <v:imagedata r:id="rId6" o:title=""/>
          </v:shape>
          <o:OLEObject Type="Embed" ProgID="Equation.3" ShapeID="_x0000_i1052" DrawAspect="Content" ObjectID="_1366101630" r:id="rId60"/>
        </w:object>
      </w:r>
      <w:r>
        <w:rPr>
          <w:lang w:val="uk-UA"/>
        </w:rPr>
        <w:t>.</w:t>
      </w:r>
    </w:p>
    <w:p w:rsidR="0040214B" w:rsidRDefault="0040214B" w:rsidP="0040214B">
      <w:pPr>
        <w:jc w:val="both"/>
        <w:rPr>
          <w:lang w:val="uk-UA"/>
        </w:rPr>
      </w:pPr>
      <w:r>
        <w:rPr>
          <w:lang w:val="uk-UA"/>
        </w:rPr>
        <w:tab/>
        <w:t>Перепишемо диференційне рівняння у вигляді</w:t>
      </w:r>
    </w:p>
    <w:p w:rsidR="0040214B" w:rsidRDefault="0040214B" w:rsidP="0040214B">
      <w:pPr>
        <w:jc w:val="center"/>
        <w:rPr>
          <w:lang w:val="uk-UA"/>
        </w:rPr>
      </w:pPr>
      <w:r>
        <w:rPr>
          <w:position w:val="-34"/>
          <w:lang w:val="uk-UA"/>
        </w:rPr>
        <w:object w:dxaOrig="2340" w:dyaOrig="780">
          <v:shape id="_x0000_i1053" type="#_x0000_t75" style="width:117pt;height:39pt" o:ole="" fillcolor="window">
            <v:imagedata r:id="rId61" o:title=""/>
          </v:shape>
          <o:OLEObject Type="Embed" ProgID="Equation.3" ShapeID="_x0000_i1053" DrawAspect="Content" ObjectID="_1366101631" r:id="rId62"/>
        </w:object>
      </w:r>
      <w:r>
        <w:rPr>
          <w:lang w:val="uk-UA"/>
        </w:rPr>
        <w:t>.</w:t>
      </w:r>
    </w:p>
    <w:p w:rsidR="0040214B" w:rsidRDefault="0040214B" w:rsidP="0040214B">
      <w:pPr>
        <w:jc w:val="both"/>
        <w:rPr>
          <w:lang w:val="uk-UA"/>
        </w:rPr>
      </w:pPr>
      <w:proofErr w:type="spellStart"/>
      <w:r>
        <w:rPr>
          <w:lang w:val="uk-UA"/>
        </w:rPr>
        <w:t>Проінтегрувати</w:t>
      </w:r>
      <w:proofErr w:type="spellEnd"/>
      <w:r>
        <w:rPr>
          <w:lang w:val="uk-UA"/>
        </w:rPr>
        <w:t xml:space="preserve"> його не проблема, тільки розберемось із межами інтегрування. На рисунку вихідні сталі відносні концентрації змінились і набули вигляду</w:t>
      </w:r>
    </w:p>
    <w:p w:rsidR="0040214B" w:rsidRDefault="0040214B" w:rsidP="0040214B">
      <w:pPr>
        <w:jc w:val="both"/>
        <w:rPr>
          <w:lang w:val="uk-UA"/>
        </w:rPr>
      </w:pPr>
      <w:r>
        <w:rPr>
          <w:position w:val="-12"/>
          <w:lang w:val="uk-UA"/>
        </w:rPr>
        <w:object w:dxaOrig="540" w:dyaOrig="480">
          <v:shape id="_x0000_i1054" type="#_x0000_t75" style="width:27pt;height:24pt" o:ole="" fillcolor="window">
            <v:imagedata r:id="rId63" o:title=""/>
          </v:shape>
          <o:OLEObject Type="Embed" ProgID="Equation.3" ShapeID="_x0000_i1054" DrawAspect="Content" ObjectID="_1366101632" r:id="rId64"/>
        </w:object>
      </w:r>
      <w:r>
        <w:rPr>
          <w:lang w:val="uk-UA"/>
        </w:rPr>
        <w:t>концентрація молекул першого газу біля першої пластини;</w:t>
      </w:r>
    </w:p>
    <w:p w:rsidR="0040214B" w:rsidRDefault="0040214B" w:rsidP="0040214B">
      <w:pPr>
        <w:jc w:val="both"/>
        <w:rPr>
          <w:lang w:val="uk-UA"/>
        </w:rPr>
      </w:pPr>
      <w:r>
        <w:rPr>
          <w:position w:val="-12"/>
          <w:lang w:val="uk-UA"/>
        </w:rPr>
        <w:object w:dxaOrig="580" w:dyaOrig="480">
          <v:shape id="_x0000_i1055" type="#_x0000_t75" style="width:29.25pt;height:24pt" o:ole="" fillcolor="window">
            <v:imagedata r:id="rId65" o:title=""/>
          </v:shape>
          <o:OLEObject Type="Embed" ProgID="Equation.3" ShapeID="_x0000_i1055" DrawAspect="Content" ObjectID="_1366101633" r:id="rId66"/>
        </w:object>
      </w:r>
      <w:r>
        <w:rPr>
          <w:lang w:val="uk-UA"/>
        </w:rPr>
        <w:t>концентрація молекул першого газу біля другої пластини;</w:t>
      </w:r>
    </w:p>
    <w:p w:rsidR="0040214B" w:rsidRDefault="0040214B" w:rsidP="0040214B">
      <w:pPr>
        <w:jc w:val="both"/>
        <w:rPr>
          <w:lang w:val="uk-UA"/>
        </w:rPr>
      </w:pPr>
      <w:r>
        <w:rPr>
          <w:position w:val="-12"/>
          <w:lang w:val="uk-UA"/>
        </w:rPr>
        <w:object w:dxaOrig="560" w:dyaOrig="480">
          <v:shape id="_x0000_i1056" type="#_x0000_t75" style="width:27.75pt;height:24pt" o:ole="" fillcolor="window">
            <v:imagedata r:id="rId67" o:title=""/>
          </v:shape>
          <o:OLEObject Type="Embed" ProgID="Equation.3" ShapeID="_x0000_i1056" DrawAspect="Content" ObjectID="_1366101634" r:id="rId68"/>
        </w:object>
      </w:r>
      <w:r>
        <w:rPr>
          <w:lang w:val="uk-UA"/>
        </w:rPr>
        <w:t>концентрація молекул другого газу біля першої пластини;</w:t>
      </w:r>
    </w:p>
    <w:p w:rsidR="0040214B" w:rsidRDefault="0040214B" w:rsidP="0040214B">
      <w:pPr>
        <w:jc w:val="both"/>
        <w:rPr>
          <w:lang w:val="uk-UA"/>
        </w:rPr>
      </w:pPr>
      <w:r>
        <w:rPr>
          <w:position w:val="-12"/>
          <w:lang w:val="uk-UA"/>
        </w:rPr>
        <w:object w:dxaOrig="580" w:dyaOrig="480">
          <v:shape id="_x0000_i1057" type="#_x0000_t75" style="width:29.25pt;height:24pt" o:ole="" fillcolor="window">
            <v:imagedata r:id="rId69" o:title=""/>
          </v:shape>
          <o:OLEObject Type="Embed" ProgID="Equation.3" ShapeID="_x0000_i1057" DrawAspect="Content" ObjectID="_1366101635" r:id="rId70"/>
        </w:object>
      </w:r>
      <w:r>
        <w:rPr>
          <w:lang w:val="uk-UA"/>
        </w:rPr>
        <w:t>концентрація молекул другого газу біля другої пластини.</w:t>
      </w:r>
    </w:p>
    <w:p w:rsidR="0040214B" w:rsidRDefault="0040214B" w:rsidP="0040214B">
      <w:pPr>
        <w:ind w:firstLine="720"/>
        <w:jc w:val="both"/>
        <w:rPr>
          <w:lang w:val="uk-UA"/>
        </w:rPr>
      </w:pPr>
      <w:r>
        <w:rPr>
          <w:lang w:val="uk-UA"/>
        </w:rPr>
        <w:t>Тоді інтегруємо</w:t>
      </w:r>
    </w:p>
    <w:p w:rsidR="0040214B" w:rsidRDefault="0040214B" w:rsidP="0040214B">
      <w:pPr>
        <w:jc w:val="center"/>
        <w:rPr>
          <w:lang w:val="uk-UA"/>
        </w:rPr>
      </w:pPr>
      <w:r>
        <w:rPr>
          <w:position w:val="-50"/>
          <w:lang w:val="uk-UA"/>
        </w:rPr>
        <w:object w:dxaOrig="2820" w:dyaOrig="1140">
          <v:shape id="_x0000_i1058" type="#_x0000_t75" style="width:141pt;height:57pt" o:ole="" fillcolor="window">
            <v:imagedata r:id="rId71" o:title=""/>
          </v:shape>
          <o:OLEObject Type="Embed" ProgID="Equation.3" ShapeID="_x0000_i1058" DrawAspect="Content" ObjectID="_1366101636" r:id="rId72"/>
        </w:object>
      </w:r>
      <w:r>
        <w:rPr>
          <w:lang w:val="uk-UA"/>
        </w:rPr>
        <w:t>.</w:t>
      </w:r>
    </w:p>
    <w:p w:rsidR="0040214B" w:rsidRDefault="0040214B" w:rsidP="0040214B">
      <w:pPr>
        <w:jc w:val="both"/>
        <w:rPr>
          <w:lang w:val="uk-UA"/>
        </w:rPr>
      </w:pPr>
      <w:r>
        <w:rPr>
          <w:lang w:val="uk-UA"/>
        </w:rPr>
        <w:t xml:space="preserve">Скористаємось тим, що </w:t>
      </w:r>
      <w:r>
        <w:rPr>
          <w:position w:val="-34"/>
          <w:lang w:val="uk-UA"/>
        </w:rPr>
        <w:object w:dxaOrig="2560" w:dyaOrig="780">
          <v:shape id="_x0000_i1059" type="#_x0000_t75" style="width:128.25pt;height:39pt" o:ole="" fillcolor="window">
            <v:imagedata r:id="rId73" o:title=""/>
          </v:shape>
          <o:OLEObject Type="Embed" ProgID="Equation.3" ShapeID="_x0000_i1059" DrawAspect="Content" ObjectID="_1366101637" r:id="rId74"/>
        </w:object>
      </w:r>
      <w:r>
        <w:rPr>
          <w:lang w:val="uk-UA"/>
        </w:rPr>
        <w:t>. Розділивши перший інтеграл на два, маємо</w:t>
      </w:r>
    </w:p>
    <w:p w:rsidR="0040214B" w:rsidRDefault="0040214B" w:rsidP="0040214B">
      <w:pPr>
        <w:jc w:val="center"/>
        <w:rPr>
          <w:lang w:val="uk-UA"/>
        </w:rPr>
      </w:pPr>
      <w:r>
        <w:rPr>
          <w:position w:val="-50"/>
          <w:lang w:val="uk-UA"/>
        </w:rPr>
        <w:object w:dxaOrig="3379" w:dyaOrig="1140">
          <v:shape id="_x0000_i1060" type="#_x0000_t75" style="width:168.75pt;height:57pt" o:ole="" fillcolor="window">
            <v:imagedata r:id="rId75" o:title=""/>
          </v:shape>
          <o:OLEObject Type="Embed" ProgID="Equation.3" ShapeID="_x0000_i1060" DrawAspect="Content" ObjectID="_1366101638" r:id="rId76"/>
        </w:object>
      </w:r>
      <w:r>
        <w:rPr>
          <w:lang w:val="uk-UA"/>
        </w:rPr>
        <w:t xml:space="preserve">;                          </w:t>
      </w:r>
      <w:r>
        <w:rPr>
          <w:position w:val="-40"/>
          <w:lang w:val="uk-UA"/>
        </w:rPr>
        <w:object w:dxaOrig="2760" w:dyaOrig="999">
          <v:shape id="_x0000_i1061" type="#_x0000_t75" style="width:138pt;height:50.25pt" o:ole="" fillcolor="window">
            <v:imagedata r:id="rId77" o:title=""/>
          </v:shape>
          <o:OLEObject Type="Embed" ProgID="Equation.3" ShapeID="_x0000_i1061" DrawAspect="Content" ObjectID="_1366101639" r:id="rId78"/>
        </w:object>
      </w:r>
      <w:r>
        <w:rPr>
          <w:lang w:val="uk-UA"/>
        </w:rPr>
        <w:t>.</w:t>
      </w:r>
    </w:p>
    <w:p w:rsidR="0040214B" w:rsidRDefault="0040214B" w:rsidP="0040214B">
      <w:pPr>
        <w:jc w:val="both"/>
        <w:rPr>
          <w:lang w:val="uk-UA"/>
        </w:rPr>
      </w:pPr>
      <w:r>
        <w:rPr>
          <w:lang w:val="uk-UA"/>
        </w:rPr>
        <w:lastRenderedPageBreak/>
        <w:t>Можна трошки прикрасити</w:t>
      </w:r>
    </w:p>
    <w:p w:rsidR="0040214B" w:rsidRDefault="0040214B" w:rsidP="0040214B">
      <w:pPr>
        <w:jc w:val="center"/>
        <w:rPr>
          <w:lang w:val="uk-UA"/>
        </w:rPr>
      </w:pPr>
      <w:r>
        <w:rPr>
          <w:position w:val="-40"/>
          <w:lang w:val="uk-UA"/>
        </w:rPr>
        <w:object w:dxaOrig="2280" w:dyaOrig="999">
          <v:shape id="_x0000_i1062" type="#_x0000_t75" style="width:114pt;height:50.25pt" o:ole="" fillcolor="window">
            <v:imagedata r:id="rId79" o:title=""/>
            <w10:bordertop type="single" width="8"/>
            <w10:borderleft type="single" width="8"/>
            <w10:borderbottom type="single" width="8"/>
            <w10:borderright type="single" width="8"/>
          </v:shape>
          <o:OLEObject Type="Embed" ProgID="Equation.3" ShapeID="_x0000_i1062" DrawAspect="Content" ObjectID="_1366101640" r:id="rId80"/>
        </w:object>
      </w:r>
      <w:r>
        <w:rPr>
          <w:lang w:val="uk-UA"/>
        </w:rPr>
        <w:t>.</w:t>
      </w:r>
    </w:p>
    <w:p w:rsidR="0040214B" w:rsidRDefault="0040214B" w:rsidP="0040214B">
      <w:pPr>
        <w:jc w:val="both"/>
        <w:rPr>
          <w:lang w:val="uk-UA"/>
        </w:rPr>
      </w:pPr>
      <w:r>
        <w:rPr>
          <w:lang w:val="uk-UA"/>
        </w:rPr>
        <w:t>Що нам дає отриманий результат? Ми отримали зв’язок між концентрацією молекул одного сорту, що встановилась на пластинах із різною температурою внаслідок термодифузії. Аналогічно можна отримати і для другого сорту молекул.</w:t>
      </w:r>
    </w:p>
    <w:p w:rsidR="0040214B" w:rsidRDefault="0040214B" w:rsidP="0040214B">
      <w:pPr>
        <w:jc w:val="both"/>
        <w:rPr>
          <w:lang w:val="uk-UA"/>
        </w:rPr>
      </w:pPr>
      <w:r>
        <w:rPr>
          <w:lang w:val="uk-UA"/>
        </w:rPr>
        <w:tab/>
        <w:t xml:space="preserve">Якщо </w:t>
      </w:r>
      <w:r>
        <w:rPr>
          <w:position w:val="-12"/>
          <w:lang w:val="uk-UA"/>
        </w:rPr>
        <w:object w:dxaOrig="840" w:dyaOrig="380">
          <v:shape id="_x0000_i1063" type="#_x0000_t75" style="width:42pt;height:18.75pt" o:ole="" fillcolor="window">
            <v:imagedata r:id="rId81" o:title=""/>
          </v:shape>
          <o:OLEObject Type="Embed" ProgID="Equation.3" ShapeID="_x0000_i1063" DrawAspect="Content" ObjectID="_1366101641" r:id="rId82"/>
        </w:object>
      </w:r>
      <w:r>
        <w:rPr>
          <w:lang w:val="uk-UA"/>
        </w:rPr>
        <w:t xml:space="preserve">, то </w:t>
      </w:r>
      <w:r>
        <w:rPr>
          <w:position w:val="-40"/>
          <w:lang w:val="uk-UA"/>
        </w:rPr>
        <w:object w:dxaOrig="1680" w:dyaOrig="940">
          <v:shape id="_x0000_i1064" type="#_x0000_t75" style="width:84pt;height:47.25pt" o:ole="" fillcolor="window">
            <v:imagedata r:id="rId83" o:title=""/>
          </v:shape>
          <o:OLEObject Type="Embed" ProgID="Equation.3" ShapeID="_x0000_i1064" DrawAspect="Content" ObjectID="_1366101642" r:id="rId84"/>
        </w:object>
      </w:r>
      <w:r>
        <w:rPr>
          <w:lang w:val="uk-UA"/>
        </w:rPr>
        <w:t xml:space="preserve">, або </w:t>
      </w:r>
      <w:r>
        <w:rPr>
          <w:position w:val="-36"/>
          <w:lang w:val="uk-UA"/>
        </w:rPr>
        <w:object w:dxaOrig="1800" w:dyaOrig="960">
          <v:shape id="_x0000_i1065" type="#_x0000_t75" style="width:90pt;height:48pt" o:ole="" fillcolor="window">
            <v:imagedata r:id="rId85" o:title=""/>
          </v:shape>
          <o:OLEObject Type="Embed" ProgID="Equation.3" ShapeID="_x0000_i1065" DrawAspect="Content" ObjectID="_1366101643" r:id="rId86"/>
        </w:object>
      </w:r>
      <w:r>
        <w:rPr>
          <w:lang w:val="uk-UA"/>
        </w:rPr>
        <w:t>. Відношення концентрацій компонент суміші газів на першій і другій пластинах однакове, тобто суміш однорідна.</w:t>
      </w:r>
    </w:p>
    <w:p w:rsidR="0040214B" w:rsidRDefault="0040214B" w:rsidP="0040214B">
      <w:pPr>
        <w:jc w:val="both"/>
        <w:rPr>
          <w:lang w:val="uk-UA"/>
        </w:rPr>
      </w:pPr>
      <w:r>
        <w:rPr>
          <w:lang w:val="uk-UA"/>
        </w:rPr>
        <w:tab/>
        <w:t xml:space="preserve">Якщо ж  </w:t>
      </w:r>
      <w:r>
        <w:rPr>
          <w:position w:val="-12"/>
          <w:lang w:val="uk-UA"/>
        </w:rPr>
        <w:object w:dxaOrig="840" w:dyaOrig="380">
          <v:shape id="_x0000_i1066" type="#_x0000_t75" style="width:42pt;height:18.75pt" o:ole="" fillcolor="window">
            <v:imagedata r:id="rId87" o:title=""/>
          </v:shape>
          <o:OLEObject Type="Embed" ProgID="Equation.3" ShapeID="_x0000_i1066" DrawAspect="Content" ObjectID="_1366101644" r:id="rId88"/>
        </w:object>
      </w:r>
      <w:r>
        <w:rPr>
          <w:lang w:val="uk-UA"/>
        </w:rPr>
        <w:t>, формула дасть нам можливість оцінити ступінь неоднорідності розподілу концентрацій.</w:t>
      </w:r>
    </w:p>
    <w:p w:rsidR="0040214B" w:rsidRDefault="0040214B" w:rsidP="0040214B">
      <w:pPr>
        <w:jc w:val="both"/>
        <w:rPr>
          <w:lang w:val="uk-UA"/>
        </w:rPr>
      </w:pPr>
    </w:p>
    <w:p w:rsidR="0040214B" w:rsidRDefault="0040214B" w:rsidP="0040214B">
      <w:pPr>
        <w:jc w:val="both"/>
        <w:rPr>
          <w:lang w:val="uk-UA"/>
        </w:rPr>
      </w:pPr>
    </w:p>
    <w:p w:rsidR="0040214B" w:rsidRDefault="0040214B" w:rsidP="0040214B">
      <w:pPr>
        <w:pStyle w:val="1"/>
      </w:pPr>
      <w:r>
        <w:t>Застосування термодифузії для розділення ізотопів</w:t>
      </w:r>
    </w:p>
    <w:p w:rsidR="0040214B" w:rsidRDefault="0040214B" w:rsidP="0040214B">
      <w:pPr>
        <w:jc w:val="both"/>
        <w:rPr>
          <w:lang w:val="uk-UA"/>
        </w:rPr>
      </w:pPr>
    </w:p>
    <w:p w:rsidR="0040214B" w:rsidRDefault="0040214B" w:rsidP="0040214B">
      <w:pPr>
        <w:jc w:val="center"/>
        <w:rPr>
          <w:b/>
          <w:i/>
          <w:lang w:val="uk-UA"/>
        </w:rPr>
      </w:pPr>
      <w:r>
        <w:rPr>
          <w:b/>
          <w:i/>
          <w:lang w:val="uk-UA"/>
        </w:rPr>
        <w:t>(</w:t>
      </w:r>
      <w:proofErr w:type="spellStart"/>
      <w:r>
        <w:rPr>
          <w:b/>
          <w:i/>
          <w:lang w:val="uk-UA"/>
        </w:rPr>
        <w:t>Кикоин</w:t>
      </w:r>
      <w:proofErr w:type="spellEnd"/>
      <w:r>
        <w:rPr>
          <w:b/>
          <w:i/>
          <w:lang w:val="uk-UA"/>
        </w:rPr>
        <w:t xml:space="preserve">, §43, с.159-160; </w:t>
      </w:r>
      <w:proofErr w:type="spellStart"/>
      <w:r>
        <w:rPr>
          <w:b/>
          <w:i/>
          <w:lang w:val="uk-UA"/>
        </w:rPr>
        <w:t>Сивухін</w:t>
      </w:r>
      <w:proofErr w:type="spellEnd"/>
      <w:r>
        <w:rPr>
          <w:b/>
          <w:i/>
          <w:lang w:val="uk-UA"/>
        </w:rPr>
        <w:t>, §94, с.354-356)</w:t>
      </w:r>
    </w:p>
    <w:p w:rsidR="0040214B" w:rsidRDefault="0040214B" w:rsidP="0040214B">
      <w:pPr>
        <w:jc w:val="both"/>
        <w:rPr>
          <w:lang w:val="uk-UA"/>
        </w:rPr>
      </w:pPr>
    </w:p>
    <w:p w:rsidR="0040214B" w:rsidRDefault="0040214B" w:rsidP="0040214B">
      <w:pPr>
        <w:jc w:val="both"/>
        <w:rPr>
          <w:lang w:val="uk-UA"/>
        </w:rPr>
      </w:pPr>
      <w:r>
        <w:rPr>
          <w:noProof/>
          <w:lang w:val="ru-RU"/>
        </w:rPr>
        <mc:AlternateContent>
          <mc:Choice Requires="wps">
            <w:drawing>
              <wp:anchor distT="0" distB="0" distL="114300" distR="114300" simplePos="0" relativeHeight="251660288" behindDoc="0" locked="0" layoutInCell="0" allowOverlap="1">
                <wp:simplePos x="0" y="0"/>
                <wp:positionH relativeFrom="column">
                  <wp:posOffset>-83185</wp:posOffset>
                </wp:positionH>
                <wp:positionV relativeFrom="paragraph">
                  <wp:posOffset>702945</wp:posOffset>
                </wp:positionV>
                <wp:extent cx="1089660" cy="1870710"/>
                <wp:effectExtent l="0" t="3175" r="0" b="254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870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214B" w:rsidRDefault="0040214B" w:rsidP="0040214B">
                            <w:r>
                              <w:rPr>
                                <w:noProof/>
                                <w:lang w:val="ru-RU"/>
                              </w:rPr>
                              <w:drawing>
                                <wp:inline distT="0" distB="0" distL="0" distR="0" wp14:anchorId="6C0DEE53" wp14:editId="6D7CE65A">
                                  <wp:extent cx="904875" cy="1781175"/>
                                  <wp:effectExtent l="0" t="0" r="9525" b="9525"/>
                                  <wp:docPr id="1" name="Рисунок 1" descr="7_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7_13.bmp"/>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04875" cy="1781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6.55pt;margin-top:55.35pt;width:85.8pt;height:1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" o:allowincell="f" stroked="f">
                <v:textbox>
                  <w:txbxContent>
                    <w:p w:rsidR="0040214B" w:rsidRDefault="0040214B" w:rsidP="0040214B">
                      <w:r>
                        <w:rPr>
                          <w:noProof/>
                          <w:lang w:val="ru-RU"/>
                        </w:rPr>
                        <w:drawing>
                          <wp:inline distT="0" distB="0" distL="0" distR="0" wp14:anchorId="6C0DEE53" wp14:editId="6D7CE65A">
                            <wp:extent cx="904875" cy="1781175"/>
                            <wp:effectExtent l="0" t="0" r="9525" b="9525"/>
                            <wp:docPr id="1" name="Рисунок 1" descr="7_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7_13.bmp"/>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04875" cy="1781175"/>
                                    </a:xfrm>
                                    <a:prstGeom prst="rect">
                                      <a:avLst/>
                                    </a:prstGeom>
                                    <a:noFill/>
                                    <a:ln>
                                      <a:noFill/>
                                    </a:ln>
                                  </pic:spPr>
                                </pic:pic>
                              </a:graphicData>
                            </a:graphic>
                          </wp:inline>
                        </w:drawing>
                      </w:r>
                    </w:p>
                  </w:txbxContent>
                </v:textbox>
                <w10:wrap type="square"/>
              </v:shape>
            </w:pict>
          </mc:Fallback>
        </mc:AlternateContent>
      </w:r>
    </w:p>
    <w:p w:rsidR="0040214B" w:rsidRDefault="0040214B" w:rsidP="0040214B">
      <w:pPr>
        <w:jc w:val="both"/>
        <w:rPr>
          <w:lang w:val="uk-UA"/>
        </w:rPr>
      </w:pPr>
      <w:r>
        <w:rPr>
          <w:lang w:val="uk-UA"/>
        </w:rPr>
        <w:tab/>
        <w:t xml:space="preserve">До речі, крім термодифузії існує ще й </w:t>
      </w:r>
      <w:proofErr w:type="spellStart"/>
      <w:r>
        <w:rPr>
          <w:lang w:val="uk-UA"/>
        </w:rPr>
        <w:t>бародифузія</w:t>
      </w:r>
      <w:proofErr w:type="spellEnd"/>
      <w:r>
        <w:rPr>
          <w:lang w:val="uk-UA"/>
        </w:rPr>
        <w:t>, яка виникає у суміші газів при різниці тисків. Вона також приводить до розділу газових сумішей. Але цей метод так і не найшов застосування. А от метод термодифузії використовується досить широко. Зокрема, для розділення ізотопів.</w:t>
      </w:r>
    </w:p>
    <w:p w:rsidR="0040214B" w:rsidRDefault="0040214B" w:rsidP="0040214B">
      <w:pPr>
        <w:jc w:val="both"/>
        <w:rPr>
          <w:lang w:val="uk-UA"/>
        </w:rPr>
      </w:pPr>
      <w:r>
        <w:rPr>
          <w:lang w:val="uk-UA"/>
        </w:rPr>
        <w:tab/>
        <w:t>Метод дуже простий. Нагріта дротина знаходиться у посудині, стінки якої охолоджуються. Внаслідок термодифузії більш легкий ізотоп буде збиратись біля нагрітої дротини, а більш важкі – біля охолодженої стінки. Газ біля гарячої дротини буде розширятись, змінюючи свою густину, і підніметься вгору. Охолоджені важкі ізотопи осядуть на низ. Використовується термодифузія і конвекція.</w:t>
      </w:r>
    </w:p>
    <w:p w:rsidR="001D4AE2" w:rsidRPr="0040214B" w:rsidRDefault="0040214B">
      <w:pPr>
        <w:rPr>
          <w:lang w:val="uk-UA"/>
        </w:rPr>
      </w:pPr>
      <w:bookmarkStart w:id="0" w:name="_GoBack"/>
      <w:bookmarkEnd w:id="0"/>
    </w:p>
    <w:sectPr w:rsidR="001D4AE2" w:rsidRPr="00402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14B"/>
    <w:rsid w:val="0040214B"/>
    <w:rsid w:val="00581D68"/>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4B"/>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40214B"/>
    <w:pPr>
      <w:keepNext/>
      <w:jc w:val="center"/>
      <w:outlineLvl w:val="0"/>
    </w:pPr>
    <w:rPr>
      <w:b/>
      <w:lang w:val="uk-UA"/>
    </w:rPr>
  </w:style>
  <w:style w:type="paragraph" w:styleId="2">
    <w:name w:val="heading 2"/>
    <w:basedOn w:val="a"/>
    <w:next w:val="a"/>
    <w:link w:val="20"/>
    <w:qFormat/>
    <w:rsid w:val="0040214B"/>
    <w:pPr>
      <w:keepNext/>
      <w:jc w:val="both"/>
      <w:outlineLvl w:val="1"/>
    </w:pPr>
    <w:rPr>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14B"/>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40214B"/>
    <w:rPr>
      <w:rFonts w:ascii="Times New Roman" w:eastAsia="Times New Roman" w:hAnsi="Times New Roman" w:cs="Times New Roman"/>
      <w:sz w:val="28"/>
      <w:szCs w:val="20"/>
      <w:u w:val="single"/>
      <w:lang w:val="uk-UA" w:eastAsia="ru-RU"/>
    </w:rPr>
  </w:style>
  <w:style w:type="paragraph" w:styleId="a3">
    <w:name w:val="Balloon Text"/>
    <w:basedOn w:val="a"/>
    <w:link w:val="a4"/>
    <w:uiPriority w:val="99"/>
    <w:semiHidden/>
    <w:unhideWhenUsed/>
    <w:rsid w:val="0040214B"/>
    <w:rPr>
      <w:rFonts w:ascii="Tahoma" w:hAnsi="Tahoma" w:cs="Tahoma"/>
      <w:sz w:val="16"/>
      <w:szCs w:val="16"/>
    </w:rPr>
  </w:style>
  <w:style w:type="character" w:customStyle="1" w:styleId="a4">
    <w:name w:val="Текст выноски Знак"/>
    <w:basedOn w:val="a0"/>
    <w:link w:val="a3"/>
    <w:uiPriority w:val="99"/>
    <w:semiHidden/>
    <w:rsid w:val="0040214B"/>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4B"/>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40214B"/>
    <w:pPr>
      <w:keepNext/>
      <w:jc w:val="center"/>
      <w:outlineLvl w:val="0"/>
    </w:pPr>
    <w:rPr>
      <w:b/>
      <w:lang w:val="uk-UA"/>
    </w:rPr>
  </w:style>
  <w:style w:type="paragraph" w:styleId="2">
    <w:name w:val="heading 2"/>
    <w:basedOn w:val="a"/>
    <w:next w:val="a"/>
    <w:link w:val="20"/>
    <w:qFormat/>
    <w:rsid w:val="0040214B"/>
    <w:pPr>
      <w:keepNext/>
      <w:jc w:val="both"/>
      <w:outlineLvl w:val="1"/>
    </w:pPr>
    <w:rPr>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14B"/>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40214B"/>
    <w:rPr>
      <w:rFonts w:ascii="Times New Roman" w:eastAsia="Times New Roman" w:hAnsi="Times New Roman" w:cs="Times New Roman"/>
      <w:sz w:val="28"/>
      <w:szCs w:val="20"/>
      <w:u w:val="single"/>
      <w:lang w:val="uk-UA" w:eastAsia="ru-RU"/>
    </w:rPr>
  </w:style>
  <w:style w:type="paragraph" w:styleId="a3">
    <w:name w:val="Balloon Text"/>
    <w:basedOn w:val="a"/>
    <w:link w:val="a4"/>
    <w:uiPriority w:val="99"/>
    <w:semiHidden/>
    <w:unhideWhenUsed/>
    <w:rsid w:val="0040214B"/>
    <w:rPr>
      <w:rFonts w:ascii="Tahoma" w:hAnsi="Tahoma" w:cs="Tahoma"/>
      <w:sz w:val="16"/>
      <w:szCs w:val="16"/>
    </w:rPr>
  </w:style>
  <w:style w:type="character" w:customStyle="1" w:styleId="a4">
    <w:name w:val="Текст выноски Знак"/>
    <w:basedOn w:val="a0"/>
    <w:link w:val="a3"/>
    <w:uiPriority w:val="99"/>
    <w:semiHidden/>
    <w:rsid w:val="0040214B"/>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43.png"/><Relationship Id="rId7" Type="http://schemas.openxmlformats.org/officeDocument/2006/relationships/oleObject" Target="embeddings/oleObject1.bin"/><Relationship Id="rId71" Type="http://schemas.openxmlformats.org/officeDocument/2006/relationships/image" Target="media/image34.wmf"/><Relationship Id="rId2" Type="http://schemas.microsoft.com/office/2007/relationships/stylesWithEffects" Target="stylesWithEffect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image" Target="media/image1.png"/><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2011-05-05T08:50:00Z</dcterms:created>
  <dcterms:modified xsi:type="dcterms:W3CDTF">2011-05-05T08:50:00Z</dcterms:modified>
</cp:coreProperties>
</file>