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3B" w:rsidRDefault="00807F3B" w:rsidP="00807F3B">
      <w:pPr>
        <w:pStyle w:val="2"/>
        <w:jc w:val="center"/>
      </w:pPr>
      <w:r>
        <w:t>Взаємна дифузія</w:t>
      </w:r>
    </w:p>
    <w:p w:rsidR="00807F3B" w:rsidRDefault="00807F3B" w:rsidP="00807F3B">
      <w:pPr>
        <w:jc w:val="both"/>
        <w:rPr>
          <w:lang w:val="uk-UA"/>
        </w:rPr>
      </w:pPr>
    </w:p>
    <w:p w:rsidR="00807F3B" w:rsidRDefault="00807F3B" w:rsidP="00807F3B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85090</wp:posOffset>
                </wp:positionV>
                <wp:extent cx="1455420" cy="1301750"/>
                <wp:effectExtent l="0" t="1905" r="1905" b="127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F3B" w:rsidRDefault="00807F3B" w:rsidP="00807F3B">
                            <w:r>
                              <w:rPr>
                                <w:noProof/>
                                <w:sz w:val="20"/>
                                <w:lang w:val="ru-RU"/>
                              </w:rPr>
                              <w:drawing>
                                <wp:inline distT="0" distB="0" distL="0" distR="0">
                                  <wp:extent cx="1257300" cy="1190625"/>
                                  <wp:effectExtent l="0" t="0" r="0" b="9525"/>
                                  <wp:docPr id="1" name="Рисунок 1" descr="7_1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7_1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.55pt;margin-top:6.7pt;width:114.6pt;height:1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" o:allowincell="f" stroked="f">
                <v:textbox>
                  <w:txbxContent>
                    <w:p w:rsidR="00807F3B" w:rsidRDefault="00807F3B" w:rsidP="00807F3B">
                      <w:r>
                        <w:rPr>
                          <w:noProof/>
                          <w:sz w:val="20"/>
                          <w:lang w:val="ru-RU"/>
                        </w:rPr>
                        <w:drawing>
                          <wp:inline distT="0" distB="0" distL="0" distR="0">
                            <wp:extent cx="1257300" cy="1190625"/>
                            <wp:effectExtent l="0" t="0" r="0" b="9525"/>
                            <wp:docPr id="1" name="Рисунок 1" descr="7_1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7_1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>Тепер ускладнимо собі задачу. Розглянемо взаємну дифузію, тобто дифузію двох різних газів. Тепер у нас по різні боки перегородки різні гази, з різними концентраціями, масами, довжинами вільного пробігу та швидкостями. Заберемо перегородку. Кожен газ почне розповсюджуватись у бік іншого, виникне градієнт концентрації. Знову ж таки будемо розглядати стаціонарний випадок, коли градієнт концентрації кожного газу буде підтримуватись сталим у часі (будемо додавати з одного боку і забирати з другого). Але все одно у рівноважному стані  залишаються справедливими співвідношення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193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18.75pt" o:ole="" fillcolor="window">
            <v:imagedata r:id="rId6" o:title=""/>
          </v:shape>
          <o:OLEObject Type="Embed" ProgID="Equation.3" ShapeID="_x0000_i1025" DrawAspect="Content" ObjectID="_1366101524" r:id="rId7"/>
        </w:object>
      </w:r>
      <w:r>
        <w:rPr>
          <w:lang w:val="uk-UA"/>
        </w:rPr>
        <w:t xml:space="preserve">;                 </w:t>
      </w:r>
      <w:r>
        <w:rPr>
          <w:position w:val="-28"/>
          <w:sz w:val="20"/>
          <w:lang w:val="uk-UA"/>
        </w:rPr>
        <w:object w:dxaOrig="1460" w:dyaOrig="720">
          <v:shape id="_x0000_i1026" type="#_x0000_t75" style="width:72.75pt;height:36pt" o:ole="" fillcolor="window">
            <v:imagedata r:id="rId8" o:title=""/>
          </v:shape>
          <o:OLEObject Type="Embed" ProgID="Equation.3" ShapeID="_x0000_i1026" DrawAspect="Content" ObjectID="_1366101525" r:id="rId9"/>
        </w:object>
      </w:r>
      <w:r>
        <w:rPr>
          <w:lang w:val="uk-UA"/>
        </w:rPr>
        <w:t>.</w:t>
      </w:r>
    </w:p>
    <w:p w:rsidR="00807F3B" w:rsidRDefault="00807F3B" w:rsidP="00807F3B">
      <w:pPr>
        <w:jc w:val="both"/>
        <w:rPr>
          <w:lang w:val="uk-UA"/>
        </w:rPr>
      </w:pPr>
      <w:r>
        <w:rPr>
          <w:lang w:val="uk-UA"/>
        </w:rPr>
        <w:tab/>
        <w:t xml:space="preserve">Через виділену площадку </w:t>
      </w:r>
      <w:r>
        <w:rPr>
          <w:position w:val="-6"/>
          <w:sz w:val="20"/>
          <w:lang w:val="uk-UA"/>
        </w:rPr>
        <w:object w:dxaOrig="380" w:dyaOrig="300">
          <v:shape id="_x0000_i1027" type="#_x0000_t75" style="width:18.75pt;height:15pt" o:ole="" fillcolor="window">
            <v:imagedata r:id="rId10" o:title=""/>
          </v:shape>
          <o:OLEObject Type="Embed" ProgID="Equation.3" ShapeID="_x0000_i1027" DrawAspect="Content" ObjectID="_1366101526" r:id="rId11"/>
        </w:object>
      </w:r>
      <w:r>
        <w:rPr>
          <w:lang w:val="uk-UA"/>
        </w:rPr>
        <w:t xml:space="preserve">, перпендикулярну осі </w:t>
      </w:r>
      <w:r>
        <w:rPr>
          <w:position w:val="-6"/>
          <w:sz w:val="20"/>
          <w:lang w:val="uk-UA"/>
        </w:rPr>
        <w:object w:dxaOrig="220" w:dyaOrig="240">
          <v:shape id="_x0000_i1028" type="#_x0000_t75" style="width:11.25pt;height:12pt" o:ole="" fillcolor="window">
            <v:imagedata r:id="rId12" o:title=""/>
          </v:shape>
          <o:OLEObject Type="Embed" ProgID="Equation.3" ShapeID="_x0000_i1028" DrawAspect="Content" ObjectID="_1366101527" r:id="rId13"/>
        </w:object>
      </w:r>
      <w:r>
        <w:rPr>
          <w:lang w:val="uk-UA"/>
        </w:rPr>
        <w:t xml:space="preserve">, будуть йти назустріч потоки молекул обох газів. </w:t>
      </w:r>
    </w:p>
    <w:p w:rsidR="00807F3B" w:rsidRDefault="00807F3B" w:rsidP="00807F3B">
      <w:pPr>
        <w:ind w:firstLine="720"/>
        <w:jc w:val="both"/>
        <w:rPr>
          <w:lang w:val="uk-UA"/>
        </w:rPr>
      </w:pPr>
      <w:r>
        <w:rPr>
          <w:lang w:val="uk-UA"/>
        </w:rPr>
        <w:t>Введемо позначення</w:t>
      </w:r>
    </w:p>
    <w:p w:rsidR="00807F3B" w:rsidRDefault="00807F3B" w:rsidP="00807F3B">
      <w:pPr>
        <w:jc w:val="both"/>
        <w:rPr>
          <w:lang w:val="uk-UA"/>
        </w:rPr>
      </w:pPr>
      <w:r>
        <w:rPr>
          <w:position w:val="-16"/>
          <w:sz w:val="20"/>
          <w:lang w:val="uk-UA"/>
        </w:rPr>
        <w:object w:dxaOrig="800" w:dyaOrig="520">
          <v:shape id="_x0000_i1029" type="#_x0000_t75" style="width:39.75pt;height:26.25pt" o:ole="" fillcolor="window">
            <v:imagedata r:id="rId14" o:title=""/>
          </v:shape>
          <o:OLEObject Type="Embed" ProgID="Equation.3" ShapeID="_x0000_i1029" DrawAspect="Content" ObjectID="_1366101528" r:id="rId15"/>
        </w:object>
      </w:r>
      <w:r>
        <w:rPr>
          <w:lang w:val="uk-UA"/>
        </w:rPr>
        <w:t>потік молекул 1 типу, що рухається зліва направо;</w:t>
      </w:r>
    </w:p>
    <w:p w:rsidR="00807F3B" w:rsidRDefault="00807F3B" w:rsidP="00807F3B">
      <w:pPr>
        <w:jc w:val="both"/>
        <w:rPr>
          <w:lang w:val="uk-UA"/>
        </w:rPr>
      </w:pPr>
      <w:r>
        <w:rPr>
          <w:position w:val="-16"/>
          <w:sz w:val="20"/>
          <w:lang w:val="uk-UA"/>
        </w:rPr>
        <w:object w:dxaOrig="800" w:dyaOrig="520">
          <v:shape id="_x0000_i1030" type="#_x0000_t75" style="width:39.75pt;height:26.25pt" o:ole="" fillcolor="window">
            <v:imagedata r:id="rId16" o:title=""/>
          </v:shape>
          <o:OLEObject Type="Embed" ProgID="Equation.3" ShapeID="_x0000_i1030" DrawAspect="Content" ObjectID="_1366101529" r:id="rId17"/>
        </w:object>
      </w:r>
      <w:r>
        <w:rPr>
          <w:lang w:val="uk-UA"/>
        </w:rPr>
        <w:t>потік молекул 2 типу, що рухається з права наліво.</w:t>
      </w:r>
    </w:p>
    <w:p w:rsidR="00807F3B" w:rsidRDefault="00807F3B" w:rsidP="00807F3B">
      <w:pPr>
        <w:jc w:val="both"/>
        <w:rPr>
          <w:lang w:val="uk-UA"/>
        </w:rPr>
      </w:pPr>
      <w:r>
        <w:rPr>
          <w:lang w:val="uk-UA"/>
        </w:rPr>
        <w:tab/>
        <w:t>Згідно із основним рівнянням переносу можна записати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2360" w:dyaOrig="760">
          <v:shape id="_x0000_i1031" type="#_x0000_t75" style="width:117.75pt;height:38.25pt" o:ole="" fillcolor="window">
            <v:imagedata r:id="rId18" o:title=""/>
          </v:shape>
          <o:OLEObject Type="Embed" ProgID="Equation.3" ShapeID="_x0000_i1031" DrawAspect="Content" ObjectID="_1366101530" r:id="rId19"/>
        </w:object>
      </w:r>
      <w:r>
        <w:rPr>
          <w:lang w:val="uk-UA"/>
        </w:rPr>
        <w:t xml:space="preserve">;        </w:t>
      </w:r>
      <w:r>
        <w:rPr>
          <w:position w:val="-28"/>
          <w:sz w:val="20"/>
          <w:lang w:val="uk-UA"/>
        </w:rPr>
        <w:object w:dxaOrig="2480" w:dyaOrig="760">
          <v:shape id="_x0000_i1032" type="#_x0000_t75" style="width:123.75pt;height:38.25pt" o:ole="" fillcolor="window">
            <v:imagedata r:id="rId20" o:title=""/>
          </v:shape>
          <o:OLEObject Type="Embed" ProgID="Equation.3" ShapeID="_x0000_i1032" DrawAspect="Content" ObjectID="_1366101531" r:id="rId21"/>
        </w:object>
      </w:r>
      <w:r>
        <w:rPr>
          <w:lang w:val="uk-UA"/>
        </w:rPr>
        <w:t>.</w:t>
      </w:r>
    </w:p>
    <w:p w:rsidR="00807F3B" w:rsidRDefault="00807F3B" w:rsidP="00807F3B">
      <w:pPr>
        <w:pStyle w:val="a3"/>
      </w:pPr>
      <w:r>
        <w:t>Оскільки гази різні, то у них відрізняються середні швидкості теплового руху і довжини вільного пробігу, тому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16"/>
          <w:sz w:val="20"/>
          <w:lang w:val="uk-UA"/>
        </w:rPr>
        <w:object w:dxaOrig="1359" w:dyaOrig="520">
          <v:shape id="_x0000_i1033" type="#_x0000_t75" style="width:68.25pt;height:26.25pt" o:ole="" fillcolor="window">
            <v:imagedata r:id="rId22" o:title=""/>
          </v:shape>
          <o:OLEObject Type="Embed" ProgID="Equation.3" ShapeID="_x0000_i1033" DrawAspect="Content" ObjectID="_1366101532" r:id="rId23"/>
        </w:object>
      </w:r>
      <w:r>
        <w:rPr>
          <w:lang w:val="uk-UA"/>
        </w:rPr>
        <w:t>.</w:t>
      </w:r>
    </w:p>
    <w:p w:rsidR="00807F3B" w:rsidRDefault="00807F3B" w:rsidP="00807F3B">
      <w:pPr>
        <w:jc w:val="both"/>
        <w:rPr>
          <w:lang w:val="uk-UA"/>
        </w:rPr>
      </w:pPr>
      <w:r>
        <w:rPr>
          <w:lang w:val="uk-UA"/>
        </w:rPr>
        <w:tab/>
        <w:t xml:space="preserve">Неврівноваженість зустрічних потоків молекул призведе до виникнення у об’ємі градієнту концентрації, а отже і градієнту тиску. Для того, щоб тиск у всьому об’ємі залишався сталим, газ у цілому повинен рухатись. Швидкість цього руху </w:t>
      </w:r>
      <w:r>
        <w:rPr>
          <w:position w:val="-6"/>
          <w:lang w:val="uk-UA"/>
        </w:rPr>
        <w:object w:dxaOrig="220" w:dyaOrig="240">
          <v:shape id="_x0000_i1034" type="#_x0000_t75" style="width:11.25pt;height:12pt" o:ole="" fillcolor="window">
            <v:imagedata r:id="rId24" o:title=""/>
          </v:shape>
          <o:OLEObject Type="Embed" ProgID="Equation.3" ShapeID="_x0000_i1034" DrawAspect="Content" ObjectID="_1366101533" r:id="rId25"/>
        </w:object>
      </w:r>
      <w:r>
        <w:rPr>
          <w:lang w:val="uk-UA"/>
        </w:rPr>
        <w:t xml:space="preserve"> повинна бути такою, щоб потік газу </w:t>
      </w:r>
      <w:r>
        <w:rPr>
          <w:position w:val="-6"/>
          <w:lang w:val="uk-UA"/>
        </w:rPr>
        <w:object w:dxaOrig="660" w:dyaOrig="300">
          <v:shape id="_x0000_i1035" type="#_x0000_t75" style="width:33pt;height:15pt" o:ole="" fillcolor="window">
            <v:imagedata r:id="rId26" o:title=""/>
          </v:shape>
          <o:OLEObject Type="Embed" ProgID="Equation.3" ShapeID="_x0000_i1035" DrawAspect="Content" ObjectID="_1366101534" r:id="rId27"/>
        </w:object>
      </w:r>
      <w:r>
        <w:rPr>
          <w:lang w:val="uk-UA"/>
        </w:rPr>
        <w:t xml:space="preserve"> компенсував надлишковий дифузійний потік. У такому випадку повинна виконуватись умова стаціонарності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16"/>
          <w:sz w:val="20"/>
          <w:lang w:val="uk-UA"/>
        </w:rPr>
        <w:object w:dxaOrig="2659" w:dyaOrig="520">
          <v:shape id="_x0000_i1036" type="#_x0000_t75" style="width:132.75pt;height:26.25pt" o:ole="" fillcolor="window">
            <v:imagedata r:id="rId28" o:title=""/>
          </v:shape>
          <o:OLEObject Type="Embed" ProgID="Equation.3" ShapeID="_x0000_i1036" DrawAspect="Content" ObjectID="_1366101535" r:id="rId29"/>
        </w:object>
      </w:r>
      <w:r>
        <w:rPr>
          <w:lang w:val="uk-UA"/>
        </w:rPr>
        <w:t>.</w:t>
      </w:r>
    </w:p>
    <w:p w:rsidR="00807F3B" w:rsidRDefault="00807F3B" w:rsidP="00807F3B">
      <w:pPr>
        <w:jc w:val="both"/>
        <w:rPr>
          <w:lang w:val="uk-UA"/>
        </w:rPr>
      </w:pPr>
      <w:r>
        <w:rPr>
          <w:lang w:val="uk-UA"/>
        </w:rPr>
        <w:t>Підставимо вирази потоків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4580" w:dyaOrig="760">
          <v:shape id="_x0000_i1037" type="#_x0000_t75" style="width:228.75pt;height:38.25pt" o:ole="" fillcolor="window">
            <v:imagedata r:id="rId30" o:title=""/>
          </v:shape>
          <o:OLEObject Type="Embed" ProgID="Equation.3" ShapeID="_x0000_i1037" DrawAspect="Content" ObjectID="_1366101536" r:id="rId31"/>
        </w:object>
      </w:r>
      <w:r>
        <w:rPr>
          <w:lang w:val="uk-UA"/>
        </w:rPr>
        <w:t>,</w:t>
      </w:r>
    </w:p>
    <w:p w:rsidR="00807F3B" w:rsidRDefault="00807F3B" w:rsidP="00807F3B">
      <w:pPr>
        <w:jc w:val="both"/>
        <w:rPr>
          <w:lang w:val="uk-UA"/>
        </w:rPr>
      </w:pPr>
      <w:r>
        <w:rPr>
          <w:lang w:val="uk-UA"/>
        </w:rPr>
        <w:t xml:space="preserve">і отримаємо вираз для швидкості </w:t>
      </w:r>
      <w:proofErr w:type="spellStart"/>
      <w:r>
        <w:rPr>
          <w:lang w:val="uk-UA"/>
        </w:rPr>
        <w:t>компенсуючого</w:t>
      </w:r>
      <w:proofErr w:type="spellEnd"/>
      <w:r>
        <w:rPr>
          <w:lang w:val="uk-UA"/>
        </w:rPr>
        <w:t xml:space="preserve"> потоку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5920" w:dyaOrig="859">
          <v:shape id="_x0000_i1038" type="#_x0000_t75" style="width:296.25pt;height:42.75pt" o:ole="" fillcolor="window">
            <v:imagedata r:id="rId32" o:title=""/>
          </v:shape>
          <o:OLEObject Type="Embed" ProgID="Equation.3" ShapeID="_x0000_i1038" DrawAspect="Content" ObjectID="_1366101537" r:id="rId33"/>
        </w:object>
      </w:r>
      <w:r>
        <w:rPr>
          <w:lang w:val="uk-UA"/>
        </w:rPr>
        <w:t>.</w:t>
      </w:r>
    </w:p>
    <w:p w:rsidR="00807F3B" w:rsidRDefault="00807F3B" w:rsidP="00807F3B">
      <w:pPr>
        <w:jc w:val="both"/>
        <w:rPr>
          <w:lang w:val="uk-UA"/>
        </w:rPr>
      </w:pPr>
      <w:r>
        <w:rPr>
          <w:lang w:val="uk-UA"/>
        </w:rPr>
        <w:lastRenderedPageBreak/>
        <w:t xml:space="preserve">Щоб записати повний потік молекул 1 типу </w:t>
      </w:r>
      <w:r>
        <w:rPr>
          <w:position w:val="-12"/>
          <w:lang w:val="uk-UA"/>
        </w:rPr>
        <w:object w:dxaOrig="499" w:dyaOrig="380">
          <v:shape id="_x0000_i1039" type="#_x0000_t75" style="width:24.75pt;height:18.75pt" o:ole="" fillcolor="window">
            <v:imagedata r:id="rId34" o:title=""/>
          </v:shape>
          <o:OLEObject Type="Embed" ProgID="Equation.3" ShapeID="_x0000_i1039" DrawAspect="Content" ObjectID="_1366101538" r:id="rId35"/>
        </w:object>
      </w:r>
      <w:r>
        <w:rPr>
          <w:lang w:val="uk-UA"/>
        </w:rPr>
        <w:t xml:space="preserve">, що переносяться через площадку </w:t>
      </w:r>
      <w:r>
        <w:rPr>
          <w:position w:val="-6"/>
          <w:lang w:val="uk-UA"/>
        </w:rPr>
        <w:object w:dxaOrig="380" w:dyaOrig="300">
          <v:shape id="_x0000_i1040" type="#_x0000_t75" style="width:18.75pt;height:15pt" o:ole="" fillcolor="window">
            <v:imagedata r:id="rId36" o:title=""/>
          </v:shape>
          <o:OLEObject Type="Embed" ProgID="Equation.3" ShapeID="_x0000_i1040" DrawAspect="Content" ObjectID="_1366101539" r:id="rId37"/>
        </w:object>
      </w:r>
      <w:r>
        <w:rPr>
          <w:lang w:val="uk-UA"/>
        </w:rPr>
        <w:t xml:space="preserve">, треба врахувати не тільки ті, що йдуть зліва направо </w:t>
      </w:r>
      <w:r>
        <w:rPr>
          <w:position w:val="-16"/>
          <w:sz w:val="20"/>
          <w:lang w:val="uk-UA"/>
        </w:rPr>
        <w:object w:dxaOrig="560" w:dyaOrig="520">
          <v:shape id="_x0000_i1041" type="#_x0000_t75" style="width:27.75pt;height:26.25pt" o:ole="" fillcolor="window">
            <v:imagedata r:id="rId38" o:title=""/>
          </v:shape>
          <o:OLEObject Type="Embed" ProgID="Equation.3" ShapeID="_x0000_i1041" DrawAspect="Content" ObjectID="_1366101540" r:id="rId39"/>
        </w:object>
      </w:r>
      <w:r>
        <w:rPr>
          <w:lang w:val="uk-UA"/>
        </w:rPr>
        <w:t xml:space="preserve">, а й ті, що переносяться </w:t>
      </w:r>
      <w:proofErr w:type="spellStart"/>
      <w:r>
        <w:rPr>
          <w:lang w:val="uk-UA"/>
        </w:rPr>
        <w:t>компенсуючим</w:t>
      </w:r>
      <w:proofErr w:type="spellEnd"/>
      <w:r>
        <w:rPr>
          <w:lang w:val="uk-UA"/>
        </w:rPr>
        <w:t xml:space="preserve"> потоком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16"/>
          <w:sz w:val="20"/>
          <w:lang w:val="uk-UA"/>
        </w:rPr>
        <w:object w:dxaOrig="2260" w:dyaOrig="520">
          <v:shape id="_x0000_i1042" type="#_x0000_t75" style="width:113.25pt;height:26.25pt" o:ole="" fillcolor="window">
            <v:imagedata r:id="rId40" o:title=""/>
          </v:shape>
          <o:OLEObject Type="Embed" ProgID="Equation.3" ShapeID="_x0000_i1042" DrawAspect="Content" ObjectID="_1366101541" r:id="rId41"/>
        </w:object>
      </w:r>
      <w:r>
        <w:rPr>
          <w:lang w:val="uk-UA"/>
        </w:rPr>
        <w:t>.</w:t>
      </w:r>
    </w:p>
    <w:p w:rsidR="00807F3B" w:rsidRDefault="00807F3B" w:rsidP="00807F3B">
      <w:pPr>
        <w:jc w:val="both"/>
        <w:rPr>
          <w:lang w:val="uk-UA"/>
        </w:rPr>
      </w:pPr>
      <w:r>
        <w:rPr>
          <w:lang w:val="uk-UA"/>
        </w:rPr>
        <w:t>Тоді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10300" w:dyaOrig="859">
          <v:shape id="_x0000_i1043" type="#_x0000_t75" style="width:515.25pt;height:42.75pt" o:ole="" fillcolor="window">
            <v:imagedata r:id="rId42" o:title=""/>
          </v:shape>
          <o:OLEObject Type="Embed" ProgID="Equation.3" ShapeID="_x0000_i1043" DrawAspect="Content" ObjectID="_1366101542" r:id="rId43"/>
        </w:object>
      </w:r>
      <w:r>
        <w:rPr>
          <w:lang w:val="uk-UA"/>
        </w:rPr>
        <w:t>.</w:t>
      </w:r>
    </w:p>
    <w:p w:rsidR="00807F3B" w:rsidRDefault="00807F3B" w:rsidP="00807F3B">
      <w:pPr>
        <w:ind w:firstLine="720"/>
        <w:jc w:val="both"/>
        <w:rPr>
          <w:lang w:val="uk-UA"/>
        </w:rPr>
      </w:pPr>
      <w:r>
        <w:rPr>
          <w:lang w:val="uk-UA"/>
        </w:rPr>
        <w:t xml:space="preserve">Скориставшись тим, що </w:t>
      </w:r>
      <w:r>
        <w:rPr>
          <w:position w:val="-12"/>
          <w:sz w:val="20"/>
          <w:lang w:val="uk-UA"/>
        </w:rPr>
        <w:object w:dxaOrig="1300" w:dyaOrig="380">
          <v:shape id="_x0000_i1044" type="#_x0000_t75" style="width:65.25pt;height:18.75pt" o:ole="" fillcolor="window">
            <v:imagedata r:id="rId44" o:title=""/>
          </v:shape>
          <o:OLEObject Type="Embed" ProgID="Equation.3" ShapeID="_x0000_i1044" DrawAspect="Content" ObjectID="_1366101543" r:id="rId45"/>
        </w:object>
      </w:r>
      <w:r>
        <w:rPr>
          <w:lang w:val="uk-UA"/>
        </w:rPr>
        <w:t xml:space="preserve">, перепишемо потік молекул 1 типу через площадку </w:t>
      </w:r>
      <w:r>
        <w:rPr>
          <w:position w:val="-6"/>
          <w:lang w:val="uk-UA"/>
        </w:rPr>
        <w:object w:dxaOrig="380" w:dyaOrig="300">
          <v:shape id="_x0000_i1045" type="#_x0000_t75" style="width:18.75pt;height:15pt" o:ole="" fillcolor="window">
            <v:imagedata r:id="rId36" o:title=""/>
          </v:shape>
          <o:OLEObject Type="Embed" ProgID="Equation.3" ShapeID="_x0000_i1045" DrawAspect="Content" ObjectID="_1366101544" r:id="rId46"/>
        </w:object>
      </w:r>
      <w:r>
        <w:rPr>
          <w:lang w:val="uk-UA"/>
        </w:rPr>
        <w:t xml:space="preserve"> як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4360" w:dyaOrig="859">
          <v:shape id="_x0000_i1046" type="#_x0000_t75" style="width:218.25pt;height:42.75pt" o:ole="" fillcolor="window">
            <v:imagedata r:id="rId47" o:title=""/>
          </v:shape>
          <o:OLEObject Type="Embed" ProgID="Equation.3" ShapeID="_x0000_i1046" DrawAspect="Content" ObjectID="_1366101545" r:id="rId48"/>
        </w:object>
      </w:r>
      <w:r>
        <w:rPr>
          <w:lang w:val="uk-UA"/>
        </w:rPr>
        <w:t>.</w:t>
      </w:r>
    </w:p>
    <w:p w:rsidR="00807F3B" w:rsidRDefault="00807F3B" w:rsidP="00807F3B">
      <w:pPr>
        <w:jc w:val="both"/>
        <w:rPr>
          <w:lang w:val="uk-UA"/>
        </w:rPr>
      </w:pPr>
      <w:r>
        <w:rPr>
          <w:lang w:val="uk-UA"/>
        </w:rPr>
        <w:t xml:space="preserve">Згідно із рівнянням </w:t>
      </w:r>
      <w:proofErr w:type="spellStart"/>
      <w:r>
        <w:rPr>
          <w:lang w:val="uk-UA"/>
        </w:rPr>
        <w:t>Фіка</w:t>
      </w:r>
      <w:proofErr w:type="spellEnd"/>
      <w:r>
        <w:rPr>
          <w:lang w:val="uk-UA"/>
        </w:rPr>
        <w:t>, яке справедливо і для суміші газів, коефіцієнт дифузії першого газу у суміші двох газів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3140" w:dyaOrig="760">
          <v:shape id="_x0000_i1047" type="#_x0000_t75" style="width:156.75pt;height:38.25pt" o:ole="" fillcolor="window">
            <v:imagedata r:id="rId49" o:title=""/>
          </v:shape>
          <o:OLEObject Type="Embed" ProgID="Equation.3" ShapeID="_x0000_i1047" DrawAspect="Content" ObjectID="_1366101546" r:id="rId50"/>
        </w:object>
      </w:r>
      <w:r>
        <w:rPr>
          <w:lang w:val="uk-UA"/>
        </w:rPr>
        <w:t>.</w:t>
      </w:r>
    </w:p>
    <w:p w:rsidR="00807F3B" w:rsidRDefault="00807F3B" w:rsidP="00807F3B">
      <w:pPr>
        <w:jc w:val="both"/>
        <w:rPr>
          <w:lang w:val="uk-UA"/>
        </w:rPr>
      </w:pPr>
      <w:r>
        <w:rPr>
          <w:lang w:val="uk-UA"/>
        </w:rPr>
        <w:tab/>
        <w:t>Повторивши цю процедуру для повного потоку молекул другого газу, отримаємо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3159" w:dyaOrig="760">
          <v:shape id="_x0000_i1048" type="#_x0000_t75" style="width:158.25pt;height:38.25pt" o:ole="" fillcolor="window">
            <v:imagedata r:id="rId51" o:title=""/>
          </v:shape>
          <o:OLEObject Type="Embed" ProgID="Equation.3" ShapeID="_x0000_i1048" DrawAspect="Content" ObjectID="_1366101547" r:id="rId52"/>
        </w:object>
      </w:r>
      <w:r>
        <w:rPr>
          <w:lang w:val="uk-UA"/>
        </w:rPr>
        <w:t>,</w:t>
      </w:r>
    </w:p>
    <w:p w:rsidR="00807F3B" w:rsidRDefault="00807F3B" w:rsidP="00807F3B">
      <w:pPr>
        <w:jc w:val="both"/>
        <w:rPr>
          <w:lang w:val="uk-UA"/>
        </w:rPr>
      </w:pPr>
      <w:r>
        <w:rPr>
          <w:lang w:val="uk-UA"/>
        </w:rPr>
        <w:t xml:space="preserve">а отже 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1219" w:dyaOrig="380">
          <v:shape id="_x0000_i1049" type="#_x0000_t75" style="width:60.75pt;height:18.75pt" o:ole="" fillcolor="window">
            <v:imagedata r:id="rId5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9" DrawAspect="Content" ObjectID="_1366101548" r:id="rId54"/>
        </w:object>
      </w:r>
      <w:r>
        <w:rPr>
          <w:lang w:val="uk-UA"/>
        </w:rPr>
        <w:t>.</w:t>
      </w:r>
    </w:p>
    <w:p w:rsidR="00807F3B" w:rsidRDefault="00807F3B" w:rsidP="00807F3B">
      <w:pPr>
        <w:pStyle w:val="a3"/>
      </w:pPr>
      <w:r>
        <w:t>Тобто отримали цікавий результат – коефіцієнти взаємної дифузії двох газів у суміші однакові. Якщо тепер скористатись виразами для коефіцієнтів самодифузії кожного з газів</w:t>
      </w:r>
    </w:p>
    <w:p w:rsidR="00807F3B" w:rsidRDefault="00807F3B" w:rsidP="00807F3B">
      <w:pPr>
        <w:pStyle w:val="a3"/>
        <w:jc w:val="center"/>
        <w:rPr>
          <w:caps/>
        </w:rPr>
      </w:pPr>
      <w:r>
        <w:rPr>
          <w:caps/>
          <w:position w:val="-28"/>
        </w:rPr>
        <w:object w:dxaOrig="1180" w:dyaOrig="760">
          <v:shape id="_x0000_i1050" type="#_x0000_t75" style="width:59.25pt;height:38.25pt" o:ole="" fillcolor="window">
            <v:imagedata r:id="rId55" o:title=""/>
          </v:shape>
          <o:OLEObject Type="Embed" ProgID="Equation.3" ShapeID="_x0000_i1050" DrawAspect="Content" ObjectID="_1366101549" r:id="rId56"/>
        </w:object>
      </w:r>
      <w:r>
        <w:rPr>
          <w:caps/>
        </w:rPr>
        <w:t xml:space="preserve">   </w:t>
      </w:r>
      <w:r>
        <w:t>та</w:t>
      </w:r>
      <w:r>
        <w:rPr>
          <w:caps/>
        </w:rPr>
        <w:t xml:space="preserve">    </w:t>
      </w:r>
      <w:r>
        <w:rPr>
          <w:caps/>
          <w:position w:val="-28"/>
        </w:rPr>
        <w:object w:dxaOrig="1300" w:dyaOrig="760">
          <v:shape id="_x0000_i1051" type="#_x0000_t75" style="width:65.25pt;height:38.25pt" o:ole="" fillcolor="window">
            <v:imagedata r:id="rId57" o:title=""/>
          </v:shape>
          <o:OLEObject Type="Embed" ProgID="Equation.3" ShapeID="_x0000_i1051" DrawAspect="Content" ObjectID="_1366101550" r:id="rId58"/>
        </w:object>
      </w:r>
      <w:r>
        <w:rPr>
          <w:caps/>
        </w:rPr>
        <w:t>,</w:t>
      </w:r>
    </w:p>
    <w:p w:rsidR="00807F3B" w:rsidRDefault="00807F3B" w:rsidP="00807F3B">
      <w:pPr>
        <w:pStyle w:val="a3"/>
      </w:pPr>
      <w:r>
        <w:t>то коефіцієнти взаємної дифузії можна переписати у досить симетричному вигляді</w:t>
      </w:r>
    </w:p>
    <w:p w:rsidR="00807F3B" w:rsidRDefault="00807F3B" w:rsidP="00807F3B">
      <w:pPr>
        <w:pStyle w:val="a3"/>
        <w:jc w:val="center"/>
      </w:pPr>
      <w:r>
        <w:rPr>
          <w:position w:val="-34"/>
          <w:sz w:val="20"/>
        </w:rPr>
        <w:object w:dxaOrig="2299" w:dyaOrig="780">
          <v:shape id="_x0000_i1052" type="#_x0000_t75" style="width:114.75pt;height:39pt" o:ole="" fillcolor="window">
            <v:imagedata r:id="rId59" o:title=""/>
          </v:shape>
          <o:OLEObject Type="Embed" ProgID="Equation.3" ShapeID="_x0000_i1052" DrawAspect="Content" ObjectID="_1366101551" r:id="rId60"/>
        </w:object>
      </w:r>
      <w:r>
        <w:t xml:space="preserve">          та          </w:t>
      </w:r>
      <w:r>
        <w:rPr>
          <w:position w:val="-34"/>
          <w:sz w:val="20"/>
        </w:rPr>
        <w:object w:dxaOrig="2299" w:dyaOrig="780">
          <v:shape id="_x0000_i1053" type="#_x0000_t75" style="width:114.75pt;height:39pt" o:ole="" fillcolor="window">
            <v:imagedata r:id="rId61" o:title=""/>
          </v:shape>
          <o:OLEObject Type="Embed" ProgID="Equation.3" ShapeID="_x0000_i1053" DrawAspect="Content" ObjectID="_1366101552" r:id="rId62"/>
        </w:object>
      </w:r>
      <w:r>
        <w:t>.</w:t>
      </w:r>
    </w:p>
    <w:p w:rsidR="00807F3B" w:rsidRDefault="00807F3B" w:rsidP="00807F3B">
      <w:pPr>
        <w:jc w:val="both"/>
        <w:rPr>
          <w:lang w:val="uk-UA"/>
        </w:rPr>
      </w:pPr>
      <w:r>
        <w:rPr>
          <w:lang w:val="uk-UA"/>
        </w:rPr>
        <w:tab/>
        <w:t>Ну, і як завжди, розглянемо граничний випадок, коли концентрація одного з газів мала порівняно із концентрацією другого</w:t>
      </w:r>
    </w:p>
    <w:p w:rsidR="00807F3B" w:rsidRDefault="00807F3B" w:rsidP="00807F3B">
      <w:pPr>
        <w:jc w:val="center"/>
        <w:rPr>
          <w:lang w:val="uk-UA"/>
        </w:rPr>
      </w:pPr>
      <w:r>
        <w:rPr>
          <w:position w:val="-12"/>
          <w:lang w:val="uk-UA"/>
        </w:rPr>
        <w:object w:dxaOrig="840" w:dyaOrig="380">
          <v:shape id="_x0000_i1054" type="#_x0000_t75" style="width:42pt;height:18.75pt" o:ole="" fillcolor="window">
            <v:imagedata r:id="rId63" o:title=""/>
          </v:shape>
          <o:OLEObject Type="Embed" ProgID="Equation.3" ShapeID="_x0000_i1054" DrawAspect="Content" ObjectID="_1366101553" r:id="rId64"/>
        </w:object>
      </w:r>
      <w:r>
        <w:rPr>
          <w:lang w:val="uk-UA"/>
        </w:rPr>
        <w:t xml:space="preserve">;  </w:t>
      </w:r>
      <w:r>
        <w:rPr>
          <w:position w:val="-12"/>
          <w:lang w:val="uk-UA"/>
        </w:rPr>
        <w:object w:dxaOrig="900" w:dyaOrig="380">
          <v:shape id="_x0000_i1055" type="#_x0000_t75" style="width:45pt;height:18.75pt" o:ole="" fillcolor="window">
            <v:imagedata r:id="rId65" o:title=""/>
          </v:shape>
          <o:OLEObject Type="Embed" ProgID="Equation.3" ShapeID="_x0000_i1055" DrawAspect="Content" ObjectID="_1366101554" r:id="rId66"/>
        </w:object>
      </w:r>
      <w:r>
        <w:rPr>
          <w:lang w:val="uk-UA"/>
        </w:rPr>
        <w:t xml:space="preserve">;   тоді </w:t>
      </w:r>
      <w:r>
        <w:rPr>
          <w:position w:val="-28"/>
          <w:sz w:val="20"/>
          <w:lang w:val="uk-UA"/>
        </w:rPr>
        <w:object w:dxaOrig="1800" w:dyaOrig="760">
          <v:shape id="_x0000_i1056" type="#_x0000_t75" style="width:90pt;height:38.25pt" o:ole="" fillcolor="window">
            <v:imagedata r:id="rId67" o:title=""/>
          </v:shape>
          <o:OLEObject Type="Embed" ProgID="Equation.3" ShapeID="_x0000_i1056" DrawAspect="Content" ObjectID="_1366101555" r:id="rId68"/>
        </w:object>
      </w:r>
      <w:r>
        <w:rPr>
          <w:lang w:val="uk-UA"/>
        </w:rPr>
        <w:t>.</w:t>
      </w:r>
    </w:p>
    <w:p w:rsidR="00807F3B" w:rsidRDefault="00807F3B" w:rsidP="00807F3B">
      <w:pPr>
        <w:pStyle w:val="a3"/>
      </w:pPr>
      <w:r>
        <w:tab/>
        <w:t>Отримали формулу самодифузії. Компонента, якої мало, зазнає зіткнень лише з молекулами іншого сорту. Цим і визначається довжина вільного пробігу для них.</w:t>
      </w:r>
    </w:p>
    <w:p w:rsidR="00807F3B" w:rsidRDefault="00807F3B" w:rsidP="00807F3B">
      <w:pPr>
        <w:pStyle w:val="a3"/>
      </w:pPr>
    </w:p>
    <w:p w:rsidR="00807F3B" w:rsidRDefault="00807F3B" w:rsidP="00807F3B">
      <w:pPr>
        <w:pStyle w:val="a3"/>
      </w:pPr>
    </w:p>
    <w:p w:rsidR="00807F3B" w:rsidRDefault="00807F3B" w:rsidP="00807F3B">
      <w:pPr>
        <w:pStyle w:val="a3"/>
      </w:pPr>
    </w:p>
    <w:p w:rsidR="001D4AE2" w:rsidRDefault="00807F3B">
      <w:bookmarkStart w:id="0" w:name="_GoBack"/>
      <w:bookmarkEnd w:id="0"/>
    </w:p>
    <w:sectPr w:rsidR="001D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3B"/>
    <w:rsid w:val="00581D68"/>
    <w:rsid w:val="00807F3B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07F3B"/>
    <w:pPr>
      <w:keepNext/>
      <w:jc w:val="both"/>
      <w:outlineLvl w:val="1"/>
    </w:pPr>
    <w:rPr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7F3B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styleId="a3">
    <w:name w:val="Body Text"/>
    <w:basedOn w:val="a"/>
    <w:link w:val="a4"/>
    <w:semiHidden/>
    <w:rsid w:val="00807F3B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807F3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F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F3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07F3B"/>
    <w:pPr>
      <w:keepNext/>
      <w:jc w:val="both"/>
      <w:outlineLvl w:val="1"/>
    </w:pPr>
    <w:rPr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7F3B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styleId="a3">
    <w:name w:val="Body Text"/>
    <w:basedOn w:val="a"/>
    <w:link w:val="a4"/>
    <w:semiHidden/>
    <w:rsid w:val="00807F3B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807F3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F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F3B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2011-05-05T08:49:00Z</dcterms:created>
  <dcterms:modified xsi:type="dcterms:W3CDTF">2011-05-05T08:49:00Z</dcterms:modified>
</cp:coreProperties>
</file>