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4E" w:rsidRDefault="00C2504E" w:rsidP="00C2504E">
      <w:pPr>
        <w:pStyle w:val="1"/>
      </w:pPr>
      <w:r>
        <w:t>Обертальний броунівський рух</w:t>
      </w:r>
    </w:p>
    <w:p w:rsidR="00C2504E" w:rsidRDefault="00C2504E" w:rsidP="00C2504E">
      <w:pPr>
        <w:jc w:val="both"/>
        <w:rPr>
          <w:lang w:val="uk-UA"/>
        </w:rPr>
      </w:pPr>
    </w:p>
    <w:p w:rsidR="00C2504E" w:rsidRDefault="00C2504E" w:rsidP="00C2504E">
      <w:pPr>
        <w:jc w:val="both"/>
        <w:rPr>
          <w:lang w:val="uk-UA"/>
        </w:rPr>
      </w:pPr>
      <w:r>
        <w:rPr>
          <w:lang w:val="uk-UA"/>
        </w:rPr>
        <w:tab/>
        <w:t>Завислі у рідині чи газі броунівські частинки здійснюють не тільки поступальні переміщення, а й обертові рухи. Аналогія – натовп на ринку. Якщо вас штовхнули у плече, ви обернетесь навколо вертикальної осі.</w:t>
      </w:r>
    </w:p>
    <w:p w:rsidR="00C2504E" w:rsidRDefault="00C2504E" w:rsidP="00C2504E">
      <w:pPr>
        <w:jc w:val="both"/>
        <w:rPr>
          <w:lang w:val="uk-UA"/>
        </w:rPr>
      </w:pPr>
      <w:r>
        <w:rPr>
          <w:lang w:val="uk-UA"/>
        </w:rPr>
        <w:tab/>
        <w:t xml:space="preserve">Такі обертові рухи можна зіставити з коливаннями маленького дзеркальця, підвішеного на тонкій пружній дротинці в газі. Під дією ударів молекул газу дзеркальце здійснює крутильні коливання навколо осі, якою є вертикальна дротинка. Кутове відхилення дзеркальця </w:t>
      </w:r>
      <w:r>
        <w:rPr>
          <w:position w:val="-12"/>
          <w:lang w:val="uk-UA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 fillcolor="window">
            <v:imagedata r:id="rId5" o:title=""/>
          </v:shape>
          <o:OLEObject Type="Embed" ProgID="Equation.3" ShapeID="_x0000_i1025" DrawAspect="Content" ObjectID="_1366101024" r:id="rId6"/>
        </w:object>
      </w:r>
      <w:r>
        <w:rPr>
          <w:lang w:val="uk-UA"/>
        </w:rPr>
        <w:t xml:space="preserve"> дуже мале.</w:t>
      </w:r>
    </w:p>
    <w:p w:rsidR="00C2504E" w:rsidRDefault="00C2504E" w:rsidP="00C2504E">
      <w:pPr>
        <w:jc w:val="both"/>
        <w:rPr>
          <w:lang w:val="uk-UA"/>
        </w:rPr>
      </w:pPr>
      <w:r>
        <w:rPr>
          <w:lang w:val="uk-UA"/>
        </w:rPr>
        <w:tab/>
        <w:t>Рівняння крутильних коливань дзеркальця знайоме вам із курсу механіки і має вигляд :</w:t>
      </w:r>
    </w:p>
    <w:p w:rsidR="00C2504E" w:rsidRDefault="00C2504E" w:rsidP="00C2504E">
      <w:pPr>
        <w:jc w:val="center"/>
        <w:rPr>
          <w:lang w:val="uk-UA"/>
        </w:rPr>
      </w:pPr>
      <w:r>
        <w:rPr>
          <w:position w:val="-34"/>
          <w:lang w:val="uk-UA"/>
        </w:rPr>
        <w:object w:dxaOrig="2000" w:dyaOrig="880">
          <v:shape id="_x0000_i1026" type="#_x0000_t75" style="width:99.75pt;height:44.25pt" o:ole="" fillcolor="window">
            <v:imagedata r:id="rId7" o:title=""/>
          </v:shape>
          <o:OLEObject Type="Embed" ProgID="Equation.3" ShapeID="_x0000_i1026" DrawAspect="Content" ObjectID="_1366101025" r:id="rId8"/>
        </w:object>
      </w:r>
      <w:r>
        <w:rPr>
          <w:lang w:val="uk-UA"/>
        </w:rPr>
        <w:t>,</w:t>
      </w:r>
    </w:p>
    <w:p w:rsidR="00C2504E" w:rsidRDefault="00C2504E" w:rsidP="00C2504E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4"/>
          <w:lang w:val="uk-UA"/>
        </w:rPr>
        <w:object w:dxaOrig="420" w:dyaOrig="279">
          <v:shape id="_x0000_i1027" type="#_x0000_t75" style="width:21pt;height:14.25pt" o:ole="" fillcolor="window">
            <v:imagedata r:id="rId9" o:title=""/>
          </v:shape>
          <o:OLEObject Type="Embed" ProgID="Equation.3" ShapeID="_x0000_i1027" DrawAspect="Content" ObjectID="_1366101026" r:id="rId10"/>
        </w:object>
      </w:r>
      <w:r>
        <w:rPr>
          <w:lang w:val="uk-UA"/>
        </w:rPr>
        <w:t xml:space="preserve">момент інерції дзеркальця, </w:t>
      </w:r>
      <w:r>
        <w:rPr>
          <w:position w:val="-4"/>
          <w:sz w:val="20"/>
          <w:lang w:val="uk-UA"/>
        </w:rPr>
        <w:object w:dxaOrig="580" w:dyaOrig="279">
          <v:shape id="_x0000_i1028" type="#_x0000_t75" style="width:29.25pt;height:14.25pt" o:ole="" fillcolor="window">
            <v:imagedata r:id="rId11" o:title=""/>
          </v:shape>
          <o:OLEObject Type="Embed" ProgID="Equation.3" ShapeID="_x0000_i1028" DrawAspect="Content" ObjectID="_1366101027" r:id="rId12"/>
        </w:object>
      </w:r>
      <w:r>
        <w:rPr>
          <w:lang w:val="uk-UA"/>
        </w:rPr>
        <w:t xml:space="preserve">момент сил, що виникає за рахунок ударів молекул, </w:t>
      </w:r>
      <w:r>
        <w:rPr>
          <w:position w:val="-4"/>
          <w:lang w:val="uk-UA"/>
        </w:rPr>
        <w:object w:dxaOrig="499" w:dyaOrig="279">
          <v:shape id="_x0000_i1029" type="#_x0000_t75" style="width:24.75pt;height:14.25pt" o:ole="" fillcolor="window">
            <v:imagedata r:id="rId13" o:title=""/>
          </v:shape>
          <o:OLEObject Type="Embed" ProgID="Equation.3" ShapeID="_x0000_i1029" DrawAspect="Content" ObjectID="_1366101028" r:id="rId14"/>
        </w:object>
      </w:r>
      <w:r>
        <w:rPr>
          <w:lang w:val="uk-UA"/>
        </w:rPr>
        <w:t xml:space="preserve">модуль кручення дротинки, </w:t>
      </w:r>
      <w:r>
        <w:rPr>
          <w:position w:val="-34"/>
          <w:lang w:val="uk-UA"/>
        </w:rPr>
        <w:object w:dxaOrig="820" w:dyaOrig="880">
          <v:shape id="_x0000_i1030" type="#_x0000_t75" style="width:41.25pt;height:44.25pt" o:ole="" fillcolor="window">
            <v:imagedata r:id="rId15" o:title=""/>
          </v:shape>
          <o:OLEObject Type="Embed" ProgID="Equation.3" ShapeID="_x0000_i1030" DrawAspect="Content" ObjectID="_1366101029" r:id="rId16"/>
        </w:object>
      </w:r>
      <w:r>
        <w:rPr>
          <w:lang w:val="uk-UA"/>
        </w:rPr>
        <w:t xml:space="preserve">кутове прискорення. Знак “мінус” показує, що момент сили пружності дротинки намагається повернути дзеркальце в положення рівноваги. </w:t>
      </w:r>
    </w:p>
    <w:p w:rsidR="00C2504E" w:rsidRDefault="00C2504E" w:rsidP="00C2504E">
      <w:pPr>
        <w:jc w:val="both"/>
        <w:rPr>
          <w:lang w:val="uk-UA"/>
        </w:rPr>
      </w:pPr>
      <w:r>
        <w:rPr>
          <w:lang w:val="uk-UA"/>
        </w:rPr>
        <w:tab/>
        <w:t xml:space="preserve">Як і для поступального руху, знайдемо середній квадрат кутового відхилення </w:t>
      </w:r>
      <w:r>
        <w:rPr>
          <w:position w:val="-12"/>
          <w:lang w:val="uk-UA"/>
        </w:rPr>
        <w:object w:dxaOrig="420" w:dyaOrig="520">
          <v:shape id="_x0000_i1031" type="#_x0000_t75" style="width:21pt;height:26.25pt" o:ole="" fillcolor="window">
            <v:imagedata r:id="rId17" o:title=""/>
          </v:shape>
          <o:OLEObject Type="Embed" ProgID="Equation.3" ShapeID="_x0000_i1031" DrawAspect="Content" ObjectID="_1366101030" r:id="rId18"/>
        </w:object>
      </w:r>
      <w:r>
        <w:rPr>
          <w:lang w:val="uk-UA"/>
        </w:rPr>
        <w:t xml:space="preserve">, оскільки </w:t>
      </w:r>
      <w:r>
        <w:rPr>
          <w:position w:val="-12"/>
          <w:lang w:val="uk-UA"/>
        </w:rPr>
        <w:object w:dxaOrig="660" w:dyaOrig="420">
          <v:shape id="_x0000_i1032" type="#_x0000_t75" style="width:33pt;height:21pt" o:ole="" fillcolor="window">
            <v:imagedata r:id="rId19" o:title=""/>
          </v:shape>
          <o:OLEObject Type="Embed" ProgID="Equation.3" ShapeID="_x0000_i1032" DrawAspect="Content" ObjectID="_1366101031" r:id="rId20"/>
        </w:object>
      </w:r>
      <w:r>
        <w:rPr>
          <w:lang w:val="uk-UA"/>
        </w:rPr>
        <w:t xml:space="preserve">. Помножимо обидві частини рівняння на </w:t>
      </w:r>
      <w:r>
        <w:rPr>
          <w:position w:val="-12"/>
          <w:lang w:val="uk-UA"/>
        </w:rPr>
        <w:object w:dxaOrig="240" w:dyaOrig="300">
          <v:shape id="_x0000_i1033" type="#_x0000_t75" style="width:12pt;height:15pt" o:ole="" fillcolor="window">
            <v:imagedata r:id="rId5" o:title=""/>
          </v:shape>
          <o:OLEObject Type="Embed" ProgID="Equation.3" ShapeID="_x0000_i1033" DrawAspect="Content" ObjectID="_1366101032" r:id="rId21"/>
        </w:object>
      </w:r>
      <w:r>
        <w:rPr>
          <w:lang w:val="uk-UA"/>
        </w:rPr>
        <w:t>.</w:t>
      </w:r>
    </w:p>
    <w:p w:rsidR="00C2504E" w:rsidRDefault="00C2504E" w:rsidP="00C2504E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2580" w:dyaOrig="880">
          <v:shape id="_x0000_i1034" type="#_x0000_t75" style="width:129pt;height:44.25pt" o:ole="" fillcolor="window">
            <v:imagedata r:id="rId22" o:title=""/>
          </v:shape>
          <o:OLEObject Type="Embed" ProgID="Equation.3" ShapeID="_x0000_i1034" DrawAspect="Content" ObjectID="_1366101033" r:id="rId23"/>
        </w:object>
      </w:r>
      <w:r>
        <w:rPr>
          <w:lang w:val="uk-UA"/>
        </w:rPr>
        <w:t>.</w:t>
      </w:r>
    </w:p>
    <w:p w:rsidR="00C2504E" w:rsidRDefault="00C2504E" w:rsidP="00C2504E">
      <w:pPr>
        <w:jc w:val="both"/>
        <w:rPr>
          <w:lang w:val="uk-UA"/>
        </w:rPr>
      </w:pPr>
      <w:r>
        <w:rPr>
          <w:lang w:val="uk-UA"/>
        </w:rPr>
        <w:t>Скористаємось тотожностями</w:t>
      </w:r>
    </w:p>
    <w:p w:rsidR="00C2504E" w:rsidRDefault="00C2504E" w:rsidP="00C2504E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1840" w:dyaOrig="720">
          <v:shape id="_x0000_i1035" type="#_x0000_t75" style="width:92.25pt;height:36pt" o:ole="" fillcolor="window">
            <v:imagedata r:id="rId24" o:title=""/>
          </v:shape>
          <o:OLEObject Type="Embed" ProgID="Equation.3" ShapeID="_x0000_i1035" DrawAspect="Content" ObjectID="_1366101034" r:id="rId25"/>
        </w:object>
      </w:r>
      <w:r>
        <w:rPr>
          <w:lang w:val="uk-UA"/>
        </w:rPr>
        <w:t xml:space="preserve">,      </w:t>
      </w:r>
      <w:r>
        <w:rPr>
          <w:position w:val="-44"/>
          <w:sz w:val="20"/>
          <w:lang w:val="uk-UA"/>
        </w:rPr>
        <w:object w:dxaOrig="6600" w:dyaOrig="1020">
          <v:shape id="_x0000_i1036" type="#_x0000_t75" style="width:330pt;height:51pt" o:ole="" fillcolor="window">
            <v:imagedata r:id="rId26" o:title=""/>
          </v:shape>
          <o:OLEObject Type="Embed" ProgID="Equation.3" ShapeID="_x0000_i1036" DrawAspect="Content" ObjectID="_1366101035" r:id="rId27"/>
        </w:object>
      </w:r>
    </w:p>
    <w:p w:rsidR="00C2504E" w:rsidRDefault="00C2504E" w:rsidP="00C2504E">
      <w:pPr>
        <w:jc w:val="both"/>
        <w:rPr>
          <w:lang w:val="uk-UA"/>
        </w:rPr>
      </w:pPr>
      <w:r>
        <w:rPr>
          <w:lang w:val="uk-UA"/>
        </w:rPr>
        <w:t xml:space="preserve">звідки </w:t>
      </w:r>
    </w:p>
    <w:p w:rsidR="00C2504E" w:rsidRDefault="00C2504E" w:rsidP="00C2504E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1880" w:dyaOrig="720">
          <v:shape id="_x0000_i1037" type="#_x0000_t75" style="width:93.75pt;height:36pt" o:ole="" fillcolor="window">
            <v:imagedata r:id="rId28" o:title=""/>
          </v:shape>
          <o:OLEObject Type="Embed" ProgID="Equation.3" ShapeID="_x0000_i1037" DrawAspect="Content" ObjectID="_1366101036" r:id="rId29"/>
        </w:object>
      </w:r>
      <w:r>
        <w:rPr>
          <w:lang w:val="uk-UA"/>
        </w:rPr>
        <w:t xml:space="preserve">;   </w:t>
      </w:r>
      <w:r>
        <w:rPr>
          <w:noProof/>
          <w:position w:val="-34"/>
          <w:sz w:val="20"/>
          <w:lang w:val="ru-RU"/>
        </w:rPr>
        <w:drawing>
          <wp:inline distT="0" distB="0" distL="0" distR="0">
            <wp:extent cx="20859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.</w:t>
      </w:r>
    </w:p>
    <w:p w:rsidR="00C2504E" w:rsidRDefault="00C2504E" w:rsidP="00C2504E">
      <w:pPr>
        <w:jc w:val="both"/>
        <w:rPr>
          <w:lang w:val="uk-UA"/>
        </w:rPr>
      </w:pPr>
      <w:r>
        <w:rPr>
          <w:lang w:val="uk-UA"/>
        </w:rPr>
        <w:t>Підставивши отримані співвідношення у рівняння крутильних коливань, отримаємо</w:t>
      </w:r>
    </w:p>
    <w:p w:rsidR="00C2504E" w:rsidRDefault="00C2504E" w:rsidP="00C2504E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4440" w:dyaOrig="900">
          <v:shape id="_x0000_i1038" type="#_x0000_t75" style="width:222pt;height:45pt" o:ole="" fillcolor="window">
            <v:imagedata r:id="rId31" o:title=""/>
          </v:shape>
          <o:OLEObject Type="Embed" ProgID="Equation.3" ShapeID="_x0000_i1038" DrawAspect="Content" ObjectID="_1366101037" r:id="rId32"/>
        </w:object>
      </w:r>
      <w:r>
        <w:rPr>
          <w:lang w:val="uk-UA"/>
        </w:rPr>
        <w:t>.</w:t>
      </w:r>
    </w:p>
    <w:p w:rsidR="00C2504E" w:rsidRDefault="00C2504E" w:rsidP="00C2504E">
      <w:pPr>
        <w:jc w:val="both"/>
        <w:rPr>
          <w:lang w:val="uk-UA"/>
        </w:rPr>
      </w:pPr>
      <w:r>
        <w:rPr>
          <w:lang w:val="uk-UA"/>
        </w:rPr>
        <w:t>Усереднивши за часом, отримаємо</w:t>
      </w:r>
    </w:p>
    <w:p w:rsidR="00C2504E" w:rsidRDefault="00C2504E" w:rsidP="00C2504E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4480" w:dyaOrig="940">
          <v:shape id="_x0000_i1039" type="#_x0000_t75" style="width:224.25pt;height:47.25pt" o:ole="" fillcolor="window">
            <v:imagedata r:id="rId33" o:title=""/>
          </v:shape>
          <o:OLEObject Type="Embed" ProgID="Equation.3" ShapeID="_x0000_i1039" DrawAspect="Content" ObjectID="_1366101038" r:id="rId34"/>
        </w:object>
      </w:r>
      <w:r>
        <w:rPr>
          <w:lang w:val="uk-UA"/>
        </w:rPr>
        <w:t>.</w:t>
      </w:r>
    </w:p>
    <w:p w:rsidR="00C2504E" w:rsidRDefault="00C2504E" w:rsidP="00C2504E">
      <w:pPr>
        <w:ind w:firstLine="720"/>
        <w:jc w:val="both"/>
        <w:rPr>
          <w:lang w:val="uk-UA"/>
        </w:rPr>
      </w:pPr>
      <w:r>
        <w:rPr>
          <w:lang w:val="uk-UA"/>
        </w:rPr>
        <w:t xml:space="preserve">Величина </w:t>
      </w:r>
      <w:r>
        <w:rPr>
          <w:position w:val="-12"/>
          <w:sz w:val="20"/>
          <w:lang w:val="uk-UA"/>
        </w:rPr>
        <w:object w:dxaOrig="920" w:dyaOrig="420">
          <v:shape id="_x0000_i1040" type="#_x0000_t75" style="width:45.75pt;height:21pt" o:ole="" fillcolor="window">
            <v:imagedata r:id="rId35" o:title=""/>
          </v:shape>
          <o:OLEObject Type="Embed" ProgID="Equation.3" ShapeID="_x0000_i1040" DrawAspect="Content" ObjectID="_1366101039" r:id="rId36"/>
        </w:object>
      </w:r>
      <w:r>
        <w:rPr>
          <w:lang w:val="uk-UA"/>
        </w:rPr>
        <w:t>, оскільки дзеркальце рівну кількість разів повертається за годинниковою стрілкою і проти неї, тому цим доданком можна знехтувати.</w:t>
      </w:r>
    </w:p>
    <w:p w:rsidR="00C2504E" w:rsidRDefault="00C2504E" w:rsidP="00C2504E">
      <w:pPr>
        <w:ind w:firstLine="720"/>
        <w:jc w:val="both"/>
        <w:rPr>
          <w:lang w:val="uk-UA"/>
        </w:rPr>
      </w:pPr>
      <w:r>
        <w:rPr>
          <w:lang w:val="uk-UA"/>
        </w:rPr>
        <w:lastRenderedPageBreak/>
        <w:t xml:space="preserve">Дзеркальце у газі можна розглядати як величезну броунівську частинку (так само, як і поршень, коли ми розглядали </w:t>
      </w:r>
      <w:proofErr w:type="spellStart"/>
      <w:r>
        <w:rPr>
          <w:lang w:val="uk-UA"/>
        </w:rPr>
        <w:t>газокінетичний</w:t>
      </w:r>
      <w:proofErr w:type="spellEnd"/>
      <w:r>
        <w:rPr>
          <w:lang w:val="uk-UA"/>
        </w:rPr>
        <w:t xml:space="preserve"> зміст температури). Воно здійснює малі крутильні коливання, які є гармонічними. Величина </w:t>
      </w:r>
      <w:r>
        <w:rPr>
          <w:position w:val="-32"/>
          <w:sz w:val="20"/>
          <w:lang w:val="uk-UA"/>
        </w:rPr>
        <w:object w:dxaOrig="1219" w:dyaOrig="920">
          <v:shape id="_x0000_i1041" type="#_x0000_t75" style="width:60.75pt;height:45.75pt" o:ole="" fillcolor="window">
            <v:imagedata r:id="rId37" o:title=""/>
          </v:shape>
          <o:OLEObject Type="Embed" ProgID="Equation.3" ShapeID="_x0000_i1041" DrawAspect="Content" ObjectID="_1366101040" r:id="rId38"/>
        </w:object>
      </w:r>
      <w:r>
        <w:rPr>
          <w:lang w:val="uk-UA"/>
        </w:rPr>
        <w:t xml:space="preserve">є середньою кінетичною енергією гармонічних коливань, яка дорівнює </w:t>
      </w:r>
      <w:r>
        <w:rPr>
          <w:position w:val="-26"/>
          <w:sz w:val="20"/>
          <w:lang w:val="uk-UA"/>
        </w:rPr>
        <w:object w:dxaOrig="600" w:dyaOrig="700">
          <v:shape id="_x0000_i1042" type="#_x0000_t75" style="width:30pt;height:35.25pt" o:ole="" fillcolor="window">
            <v:imagedata r:id="rId39" o:title=""/>
          </v:shape>
          <o:OLEObject Type="Embed" ProgID="Equation.3" ShapeID="_x0000_i1042" DrawAspect="Content" ObjectID="_1366101041" r:id="rId40"/>
        </w:object>
      </w:r>
      <w:r>
        <w:rPr>
          <w:lang w:val="uk-UA"/>
        </w:rPr>
        <w:t>. Тоді</w:t>
      </w:r>
    </w:p>
    <w:p w:rsidR="00C2504E" w:rsidRDefault="00C2504E" w:rsidP="00C2504E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1500" w:dyaOrig="920">
          <v:shape id="_x0000_i1043" type="#_x0000_t75" style="width:75pt;height:45.75pt" o:ole="" fillcolor="window">
            <v:imagedata r:id="rId41" o:title=""/>
          </v:shape>
          <o:OLEObject Type="Embed" ProgID="Equation.3" ShapeID="_x0000_i1043" DrawAspect="Content" ObjectID="_1366101042" r:id="rId42"/>
        </w:object>
      </w:r>
      <w:r>
        <w:rPr>
          <w:lang w:val="uk-UA"/>
        </w:rPr>
        <w:t>.</w:t>
      </w:r>
    </w:p>
    <w:p w:rsidR="00C2504E" w:rsidRDefault="00C2504E" w:rsidP="00C2504E">
      <w:pPr>
        <w:pStyle w:val="2"/>
      </w:pPr>
      <w:r>
        <w:t>Оскільки середні значення кінетичної і потенціальної енергії гармонічних коливань однакові, маємо</w:t>
      </w:r>
    </w:p>
    <w:p w:rsidR="00C2504E" w:rsidRDefault="00C2504E" w:rsidP="00C2504E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3060" w:dyaOrig="920">
          <v:shape id="_x0000_i1044" type="#_x0000_t75" style="width:153pt;height:45.75pt" o:ole="" fillcolor="window">
            <v:imagedata r:id="rId43" o:title=""/>
          </v:shape>
          <o:OLEObject Type="Embed" ProgID="Equation.3" ShapeID="_x0000_i1044" DrawAspect="Content" ObjectID="_1366101043" r:id="rId44"/>
        </w:object>
      </w:r>
      <w:r>
        <w:rPr>
          <w:lang w:val="uk-UA"/>
        </w:rPr>
        <w:t>,</w:t>
      </w:r>
    </w:p>
    <w:p w:rsidR="00C2504E" w:rsidRDefault="00C2504E" w:rsidP="00C2504E">
      <w:pPr>
        <w:jc w:val="both"/>
        <w:rPr>
          <w:lang w:val="uk-UA"/>
        </w:rPr>
      </w:pPr>
      <w:r>
        <w:rPr>
          <w:lang w:val="uk-UA"/>
        </w:rPr>
        <w:t>звідки</w:t>
      </w:r>
    </w:p>
    <w:p w:rsidR="00C2504E" w:rsidRDefault="00C2504E" w:rsidP="00C2504E">
      <w:pPr>
        <w:jc w:val="center"/>
        <w:rPr>
          <w:lang w:val="uk-UA"/>
        </w:rPr>
      </w:pPr>
      <w:r>
        <w:rPr>
          <w:position w:val="-26"/>
          <w:sz w:val="20"/>
          <w:lang w:val="uk-UA"/>
        </w:rPr>
        <w:object w:dxaOrig="1040" w:dyaOrig="700">
          <v:shape id="_x0000_i1045" type="#_x0000_t75" style="width:51.75pt;height:35.25pt" o:ole="" fillcolor="window">
            <v:imagedata r:id="rId45" o:title=""/>
          </v:shape>
          <o:OLEObject Type="Embed" ProgID="Equation.3" ShapeID="_x0000_i1045" DrawAspect="Content" ObjectID="_1366101044" r:id="rId46"/>
        </w:object>
      </w:r>
      <w:r>
        <w:rPr>
          <w:lang w:val="uk-UA"/>
        </w:rPr>
        <w:t>.</w:t>
      </w:r>
    </w:p>
    <w:p w:rsidR="00C2504E" w:rsidRDefault="00C2504E" w:rsidP="00C2504E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441325</wp:posOffset>
                </wp:positionV>
                <wp:extent cx="2007870" cy="1209675"/>
                <wp:effectExtent l="0" t="2540" r="1905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04E" w:rsidRDefault="00C2504E" w:rsidP="00C2504E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819275" cy="1104900"/>
                                  <wp:effectExtent l="0" t="0" r="9525" b="0"/>
                                  <wp:docPr id="2" name="Рисунок 2" descr="4_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4_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55pt;margin-top:34.75pt;width:158.1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" o:allowincell="f" stroked="f">
                <v:textbox>
                  <w:txbxContent>
                    <w:p w:rsidR="00C2504E" w:rsidRDefault="00C2504E" w:rsidP="00C2504E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819275" cy="1104900"/>
                            <wp:effectExtent l="0" t="0" r="9525" b="0"/>
                            <wp:docPr id="2" name="Рисунок 2" descr="4_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4_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 xml:space="preserve">Отже, за значеннями макроскопічних параметрів, якими є температура </w:t>
      </w:r>
      <w:r>
        <w:rPr>
          <w:position w:val="-4"/>
          <w:lang w:val="uk-UA"/>
        </w:rPr>
        <w:object w:dxaOrig="240" w:dyaOrig="279">
          <v:shape id="_x0000_i1046" type="#_x0000_t75" style="width:12pt;height:14.25pt" o:ole="" fillcolor="window">
            <v:imagedata r:id="rId48" o:title=""/>
          </v:shape>
          <o:OLEObject Type="Embed" ProgID="Equation.3" ShapeID="_x0000_i1046" DrawAspect="Content" ObjectID="_1366101045" r:id="rId49"/>
        </w:object>
      </w:r>
      <w:r>
        <w:rPr>
          <w:lang w:val="uk-UA"/>
        </w:rPr>
        <w:t xml:space="preserve">, модуль кручення дротинки </w:t>
      </w:r>
      <w:r>
        <w:rPr>
          <w:position w:val="-4"/>
          <w:lang w:val="uk-UA"/>
        </w:rPr>
        <w:object w:dxaOrig="300" w:dyaOrig="279">
          <v:shape id="_x0000_i1047" type="#_x0000_t75" style="width:15pt;height:14.25pt" o:ole="" fillcolor="window">
            <v:imagedata r:id="rId50" o:title=""/>
          </v:shape>
          <o:OLEObject Type="Embed" ProgID="Equation.3" ShapeID="_x0000_i1047" DrawAspect="Content" ObjectID="_1366101046" r:id="rId51"/>
        </w:object>
      </w:r>
      <w:r>
        <w:rPr>
          <w:lang w:val="uk-UA"/>
        </w:rPr>
        <w:t xml:space="preserve"> та середнє значення квадрату кутового відхилення </w:t>
      </w:r>
      <w:r>
        <w:rPr>
          <w:position w:val="-12"/>
          <w:lang w:val="uk-UA"/>
        </w:rPr>
        <w:object w:dxaOrig="420" w:dyaOrig="520">
          <v:shape id="_x0000_i1048" type="#_x0000_t75" style="width:21pt;height:26.25pt" o:ole="" fillcolor="window">
            <v:imagedata r:id="rId52" o:title=""/>
          </v:shape>
          <o:OLEObject Type="Embed" ProgID="Equation.3" ShapeID="_x0000_i1048" DrawAspect="Content" ObjectID="_1366101047" r:id="rId53"/>
        </w:object>
      </w:r>
      <w:r>
        <w:rPr>
          <w:lang w:val="uk-UA"/>
        </w:rPr>
        <w:t xml:space="preserve">, можна з великою точністю визначити сталу </w:t>
      </w:r>
      <w:proofErr w:type="spellStart"/>
      <w:r>
        <w:rPr>
          <w:lang w:val="uk-UA"/>
        </w:rPr>
        <w:t>Больцмана</w:t>
      </w:r>
      <w:proofErr w:type="spellEnd"/>
      <w:r>
        <w:rPr>
          <w:lang w:val="uk-UA"/>
        </w:rPr>
        <w:t>. Може здатися, що з великою точністю важко виміряти малі кутові відхилення. Але їх можна вимірювати за допомогою променя світла. Мале кутове зміщення приведе до значного лінійного зміщення відбитого променя на великій відстані від дзеркальця.</w:t>
      </w:r>
    </w:p>
    <w:p w:rsidR="001D4AE2" w:rsidRPr="00C2504E" w:rsidRDefault="00C2504E">
      <w:pPr>
        <w:rPr>
          <w:lang w:val="uk-UA"/>
        </w:rPr>
      </w:pPr>
      <w:bookmarkStart w:id="0" w:name="_GoBack"/>
      <w:bookmarkEnd w:id="0"/>
    </w:p>
    <w:sectPr w:rsidR="001D4AE2" w:rsidRPr="00C2504E">
      <w:pgSz w:w="12240" w:h="15840"/>
      <w:pgMar w:top="851" w:right="567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4E"/>
    <w:rsid w:val="00581D68"/>
    <w:rsid w:val="00C2504E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2504E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04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Indent 2"/>
    <w:basedOn w:val="a"/>
    <w:link w:val="20"/>
    <w:semiHidden/>
    <w:rsid w:val="00C2504E"/>
    <w:pPr>
      <w:ind w:firstLine="720"/>
      <w:jc w:val="both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C250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0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4E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2504E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04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Indent 2"/>
    <w:basedOn w:val="a"/>
    <w:link w:val="20"/>
    <w:semiHidden/>
    <w:rsid w:val="00C2504E"/>
    <w:pPr>
      <w:ind w:firstLine="720"/>
      <w:jc w:val="both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C250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0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4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png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2011-05-05T08:39:00Z</dcterms:created>
  <dcterms:modified xsi:type="dcterms:W3CDTF">2011-05-05T08:39:00Z</dcterms:modified>
</cp:coreProperties>
</file>